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2A3AA" w14:textId="1B0BF11D" w:rsidR="007436D9" w:rsidRPr="00086309" w:rsidRDefault="007436D9" w:rsidP="00086309">
      <w:pPr>
        <w:tabs>
          <w:tab w:val="left" w:pos="1985"/>
        </w:tabs>
        <w:spacing w:after="60"/>
        <w:rPr>
          <w:rFonts w:ascii="Arial" w:hAnsi="Arial" w:cs="Arial"/>
          <w:b/>
          <w:bCs/>
          <w:noProof/>
          <w:sz w:val="24"/>
          <w:szCs w:val="26"/>
        </w:rPr>
      </w:pPr>
      <w:r w:rsidRPr="00086309">
        <w:rPr>
          <w:rFonts w:ascii="Arial" w:hAnsi="Arial" w:cs="Arial"/>
          <w:b/>
          <w:bCs/>
          <w:noProof/>
          <w:sz w:val="24"/>
          <w:szCs w:val="26"/>
        </w:rPr>
        <w:t>3GPP TSG RAN WG1 Meeting #97                                   R1-190</w:t>
      </w:r>
      <w:r w:rsidR="00425432">
        <w:rPr>
          <w:rFonts w:ascii="Arial" w:hAnsi="Arial" w:cs="Arial"/>
          <w:b/>
          <w:bCs/>
          <w:noProof/>
          <w:sz w:val="24"/>
          <w:szCs w:val="26"/>
        </w:rPr>
        <w:t>7036</w:t>
      </w:r>
    </w:p>
    <w:p w14:paraId="4B7DAAF7" w14:textId="77777777" w:rsidR="007436D9" w:rsidRPr="00086309" w:rsidRDefault="007436D9" w:rsidP="00086309">
      <w:pPr>
        <w:tabs>
          <w:tab w:val="left" w:pos="1985"/>
        </w:tabs>
        <w:spacing w:after="240"/>
        <w:rPr>
          <w:rFonts w:ascii="Arial" w:hAnsi="Arial" w:cs="Arial"/>
          <w:b/>
          <w:bCs/>
          <w:noProof/>
          <w:sz w:val="24"/>
          <w:szCs w:val="26"/>
        </w:rPr>
      </w:pPr>
      <w:r w:rsidRPr="00086309">
        <w:rPr>
          <w:rFonts w:ascii="Arial" w:hAnsi="Arial" w:cs="Arial"/>
          <w:b/>
          <w:bCs/>
          <w:noProof/>
          <w:sz w:val="24"/>
          <w:szCs w:val="26"/>
        </w:rPr>
        <w:t>Reno, USA, 13</w:t>
      </w:r>
      <w:r w:rsidRPr="000E2027">
        <w:rPr>
          <w:rFonts w:ascii="Arial" w:hAnsi="Arial" w:cs="Arial"/>
          <w:b/>
          <w:bCs/>
          <w:noProof/>
          <w:sz w:val="24"/>
          <w:szCs w:val="26"/>
          <w:vertAlign w:val="superscript"/>
        </w:rPr>
        <w:t>rd</w:t>
      </w:r>
      <w:r w:rsidRPr="00086309">
        <w:rPr>
          <w:rFonts w:ascii="Arial" w:hAnsi="Arial" w:cs="Arial"/>
          <w:b/>
          <w:bCs/>
          <w:noProof/>
          <w:sz w:val="24"/>
          <w:szCs w:val="26"/>
        </w:rPr>
        <w:t xml:space="preserve"> – 17</w:t>
      </w:r>
      <w:r w:rsidRPr="000E2027">
        <w:rPr>
          <w:rFonts w:ascii="Arial" w:hAnsi="Arial" w:cs="Arial"/>
          <w:b/>
          <w:bCs/>
          <w:noProof/>
          <w:sz w:val="24"/>
          <w:szCs w:val="26"/>
          <w:vertAlign w:val="superscript"/>
        </w:rPr>
        <w:t>th</w:t>
      </w:r>
      <w:r w:rsidRPr="00086309">
        <w:rPr>
          <w:rFonts w:ascii="Arial" w:hAnsi="Arial" w:cs="Arial" w:hint="eastAsia"/>
          <w:b/>
          <w:bCs/>
          <w:noProof/>
          <w:sz w:val="24"/>
          <w:szCs w:val="26"/>
        </w:rPr>
        <w:t xml:space="preserve"> </w:t>
      </w:r>
      <w:r w:rsidRPr="00086309">
        <w:rPr>
          <w:rFonts w:ascii="Arial" w:hAnsi="Arial" w:cs="Arial"/>
          <w:b/>
          <w:bCs/>
          <w:noProof/>
          <w:sz w:val="24"/>
          <w:szCs w:val="26"/>
        </w:rPr>
        <w:t>May, 2019</w:t>
      </w:r>
    </w:p>
    <w:p w14:paraId="744138CD" w14:textId="33DBC2FF" w:rsidR="00491D04" w:rsidRPr="00086309" w:rsidRDefault="00B015C3" w:rsidP="00086309">
      <w:pPr>
        <w:tabs>
          <w:tab w:val="left" w:pos="1860"/>
          <w:tab w:val="left" w:pos="3280"/>
        </w:tabs>
        <w:spacing w:after="60"/>
        <w:jc w:val="left"/>
        <w:rPr>
          <w:rFonts w:ascii="Arial" w:hAnsi="Arial" w:cs="Arial"/>
          <w:b/>
          <w:sz w:val="24"/>
          <w:szCs w:val="26"/>
          <w:lang w:val="en-US"/>
        </w:rPr>
      </w:pPr>
      <w:r w:rsidRPr="00086309">
        <w:rPr>
          <w:rFonts w:ascii="Arial" w:hAnsi="Arial" w:cs="Arial"/>
          <w:b/>
          <w:sz w:val="24"/>
          <w:szCs w:val="26"/>
          <w:lang w:val="en-US"/>
        </w:rPr>
        <w:t xml:space="preserve">Source: </w:t>
      </w:r>
      <w:r w:rsidRPr="00086309">
        <w:rPr>
          <w:rFonts w:ascii="Arial" w:hAnsi="Arial" w:cs="Arial"/>
          <w:b/>
          <w:sz w:val="24"/>
          <w:szCs w:val="26"/>
          <w:lang w:val="en-US"/>
        </w:rPr>
        <w:tab/>
        <w:t>ETRI</w:t>
      </w:r>
    </w:p>
    <w:p w14:paraId="052D08E3" w14:textId="7E934B7F" w:rsidR="00491D04" w:rsidRPr="00086309" w:rsidRDefault="00491D04" w:rsidP="00086309">
      <w:pPr>
        <w:tabs>
          <w:tab w:val="left" w:pos="1860"/>
          <w:tab w:val="left" w:pos="3280"/>
        </w:tabs>
        <w:spacing w:after="60"/>
        <w:jc w:val="left"/>
        <w:rPr>
          <w:rFonts w:ascii="Arial" w:hAnsi="Arial" w:cs="Arial"/>
          <w:b/>
          <w:sz w:val="24"/>
          <w:szCs w:val="26"/>
          <w:lang w:val="en-US"/>
        </w:rPr>
      </w:pPr>
      <w:r w:rsidRPr="00086309">
        <w:rPr>
          <w:rFonts w:ascii="Arial" w:hAnsi="Arial" w:cs="Arial"/>
          <w:b/>
          <w:sz w:val="24"/>
          <w:szCs w:val="26"/>
          <w:lang w:val="en-US"/>
        </w:rPr>
        <w:t>Title:</w:t>
      </w:r>
      <w:bookmarkStart w:id="0" w:name="Title"/>
      <w:bookmarkEnd w:id="0"/>
      <w:r w:rsidR="00CF6632" w:rsidRPr="00086309">
        <w:rPr>
          <w:rFonts w:ascii="Arial" w:hAnsi="Arial" w:cs="Arial"/>
          <w:b/>
          <w:sz w:val="24"/>
          <w:szCs w:val="26"/>
          <w:lang w:val="en-US"/>
        </w:rPr>
        <w:tab/>
      </w:r>
      <w:r w:rsidR="0011479F" w:rsidRPr="00086309">
        <w:rPr>
          <w:rFonts w:ascii="Arial" w:hAnsi="Arial" w:cs="Arial" w:hint="eastAsia"/>
          <w:b/>
          <w:sz w:val="24"/>
          <w:szCs w:val="26"/>
          <w:lang w:val="en-US"/>
        </w:rPr>
        <w:t>W</w:t>
      </w:r>
      <w:r w:rsidR="002804B1" w:rsidRPr="00086309">
        <w:rPr>
          <w:rFonts w:ascii="Arial" w:hAnsi="Arial" w:cs="Arial"/>
          <w:b/>
          <w:sz w:val="24"/>
          <w:szCs w:val="26"/>
          <w:lang w:val="en-US"/>
        </w:rPr>
        <w:t>ideband operation for NR-U</w:t>
      </w:r>
    </w:p>
    <w:p w14:paraId="2BBA9C0C" w14:textId="7D8ADA48" w:rsidR="00491D04" w:rsidRPr="00086309" w:rsidRDefault="00491D04" w:rsidP="00086309">
      <w:pPr>
        <w:tabs>
          <w:tab w:val="left" w:pos="1860"/>
          <w:tab w:val="left" w:pos="3280"/>
        </w:tabs>
        <w:spacing w:after="60"/>
        <w:jc w:val="left"/>
        <w:rPr>
          <w:rFonts w:ascii="Arial" w:hAnsi="Arial" w:cs="Arial"/>
          <w:b/>
          <w:sz w:val="24"/>
          <w:szCs w:val="26"/>
          <w:lang w:val="en-US"/>
        </w:rPr>
      </w:pPr>
      <w:r w:rsidRPr="00086309">
        <w:rPr>
          <w:rFonts w:ascii="Arial" w:hAnsi="Arial" w:cs="Arial"/>
          <w:b/>
          <w:sz w:val="24"/>
          <w:szCs w:val="26"/>
          <w:lang w:val="en-US"/>
        </w:rPr>
        <w:t>Agenda Item:</w:t>
      </w:r>
      <w:r w:rsidRPr="00086309">
        <w:rPr>
          <w:rFonts w:ascii="Arial" w:hAnsi="Arial" w:cs="Arial"/>
          <w:b/>
          <w:sz w:val="24"/>
          <w:szCs w:val="26"/>
          <w:lang w:val="en-US"/>
        </w:rPr>
        <w:tab/>
      </w:r>
      <w:r w:rsidR="00DA1CB9" w:rsidRPr="00086309">
        <w:rPr>
          <w:rFonts w:ascii="Arial" w:hAnsi="Arial" w:cs="Arial"/>
          <w:b/>
          <w:sz w:val="24"/>
          <w:szCs w:val="26"/>
          <w:lang w:val="en-US"/>
        </w:rPr>
        <w:t>7</w:t>
      </w:r>
      <w:r w:rsidR="00576779" w:rsidRPr="00086309">
        <w:rPr>
          <w:rFonts w:ascii="Arial" w:hAnsi="Arial" w:cs="Arial"/>
          <w:b/>
          <w:sz w:val="24"/>
          <w:szCs w:val="26"/>
          <w:lang w:val="en-US"/>
        </w:rPr>
        <w:t>.</w:t>
      </w:r>
      <w:r w:rsidR="005B317F" w:rsidRPr="00086309">
        <w:rPr>
          <w:rFonts w:ascii="Arial" w:hAnsi="Arial" w:cs="Arial"/>
          <w:b/>
          <w:sz w:val="24"/>
          <w:szCs w:val="26"/>
          <w:lang w:val="en-US"/>
        </w:rPr>
        <w:t>2.</w:t>
      </w:r>
      <w:r w:rsidR="002804B1" w:rsidRPr="00086309">
        <w:rPr>
          <w:rFonts w:ascii="Arial" w:hAnsi="Arial" w:cs="Arial"/>
          <w:b/>
          <w:sz w:val="24"/>
          <w:szCs w:val="26"/>
          <w:lang w:val="en-US"/>
        </w:rPr>
        <w:t>2.2.5</w:t>
      </w:r>
      <w:r w:rsidR="00FC18F7" w:rsidRPr="00086309">
        <w:rPr>
          <w:rFonts w:ascii="Arial" w:hAnsi="Arial" w:cs="Arial"/>
          <w:b/>
          <w:sz w:val="24"/>
          <w:szCs w:val="26"/>
          <w:lang w:val="en-US"/>
        </w:rPr>
        <w:t xml:space="preserve">  </w:t>
      </w:r>
      <w:r w:rsidR="001164DE" w:rsidRPr="00086309">
        <w:rPr>
          <w:rFonts w:ascii="Arial" w:hAnsi="Arial" w:cs="Arial"/>
          <w:b/>
          <w:sz w:val="24"/>
          <w:szCs w:val="26"/>
          <w:lang w:val="en-US"/>
        </w:rPr>
        <w:t xml:space="preserve"> </w:t>
      </w:r>
      <w:r w:rsidR="002804B1" w:rsidRPr="00086309">
        <w:rPr>
          <w:rFonts w:ascii="Arial" w:hAnsi="Arial" w:cs="Arial"/>
          <w:b/>
          <w:sz w:val="24"/>
          <w:szCs w:val="26"/>
          <w:lang w:val="en-US"/>
        </w:rPr>
        <w:t>Wide-band operation</w:t>
      </w:r>
    </w:p>
    <w:p w14:paraId="310138F3" w14:textId="77777777" w:rsidR="00491D04" w:rsidRPr="00086309" w:rsidRDefault="00491D04" w:rsidP="00086309">
      <w:pPr>
        <w:tabs>
          <w:tab w:val="left" w:pos="1860"/>
          <w:tab w:val="left" w:pos="3280"/>
        </w:tabs>
        <w:spacing w:after="60"/>
        <w:jc w:val="left"/>
        <w:rPr>
          <w:rFonts w:ascii="Arial" w:hAnsi="Arial" w:cs="Arial"/>
          <w:b/>
          <w:sz w:val="24"/>
          <w:szCs w:val="26"/>
          <w:lang w:val="en-US"/>
        </w:rPr>
      </w:pPr>
      <w:r w:rsidRPr="00086309">
        <w:rPr>
          <w:rFonts w:ascii="Arial" w:hAnsi="Arial" w:cs="Arial"/>
          <w:b/>
          <w:sz w:val="24"/>
          <w:szCs w:val="26"/>
          <w:lang w:val="en-US"/>
        </w:rPr>
        <w:t>Document for:</w:t>
      </w:r>
      <w:r w:rsidRPr="00086309">
        <w:rPr>
          <w:rFonts w:ascii="Arial" w:hAnsi="Arial" w:cs="Arial"/>
          <w:b/>
          <w:sz w:val="24"/>
          <w:szCs w:val="26"/>
          <w:lang w:val="en-US"/>
        </w:rPr>
        <w:tab/>
      </w:r>
      <w:bookmarkStart w:id="1" w:name="DocumentFor"/>
      <w:bookmarkEnd w:id="1"/>
      <w:r w:rsidRPr="00086309">
        <w:rPr>
          <w:rFonts w:ascii="Arial" w:hAnsi="Arial" w:cs="Arial"/>
          <w:b/>
          <w:sz w:val="24"/>
          <w:szCs w:val="26"/>
          <w:lang w:val="en-US"/>
        </w:rPr>
        <w:t>Discussion</w:t>
      </w:r>
      <w:r w:rsidR="00896FBF" w:rsidRPr="00086309">
        <w:rPr>
          <w:rFonts w:ascii="Arial" w:hAnsi="Arial" w:cs="Arial"/>
          <w:b/>
          <w:sz w:val="24"/>
          <w:szCs w:val="26"/>
          <w:lang w:val="en-US"/>
        </w:rPr>
        <w:t>/Decision</w:t>
      </w:r>
    </w:p>
    <w:p w14:paraId="535A98FD" w14:textId="77777777" w:rsidR="001E2F39" w:rsidRPr="009D67ED" w:rsidRDefault="001E2F39" w:rsidP="00086309">
      <w:pPr>
        <w:pStyle w:val="1"/>
      </w:pPr>
      <w:r w:rsidRPr="00086309">
        <w:t>Introduction</w:t>
      </w:r>
    </w:p>
    <w:p w14:paraId="3B10CCF8" w14:textId="6342A1BA" w:rsidR="00F0340D" w:rsidRDefault="00033B06" w:rsidP="00086309">
      <w:r>
        <w:t xml:space="preserve">In RAN1 </w:t>
      </w:r>
      <w:r w:rsidR="007E1A54">
        <w:t>#96bis</w:t>
      </w:r>
      <w:r w:rsidR="002804B1">
        <w:t>,</w:t>
      </w:r>
      <w:r w:rsidR="00CF5075">
        <w:t xml:space="preserve"> the following agreements were drawn </w:t>
      </w:r>
      <w:r w:rsidR="001A0519">
        <w:rPr>
          <w:rFonts w:hint="eastAsia"/>
        </w:rPr>
        <w:t>f</w:t>
      </w:r>
      <w:r w:rsidR="001A0519">
        <w:t xml:space="preserve">or </w:t>
      </w:r>
      <w:r w:rsidR="00CF5075">
        <w:t>NR-U wideband operation [1]:</w:t>
      </w:r>
    </w:p>
    <w:p w14:paraId="4B008578" w14:textId="77777777" w:rsidR="007E1A54" w:rsidRPr="007E1A54" w:rsidRDefault="007E1A54" w:rsidP="00086309">
      <w:pPr>
        <w:spacing w:after="0"/>
      </w:pPr>
      <w:r w:rsidRPr="007E1A54">
        <w:rPr>
          <w:highlight w:val="green"/>
        </w:rPr>
        <w:t>Agreement:</w:t>
      </w:r>
    </w:p>
    <w:p w14:paraId="6E0D3198" w14:textId="77777777" w:rsidR="007E1A54" w:rsidRPr="007E1A54" w:rsidRDefault="007E1A54" w:rsidP="00086309">
      <w:pPr>
        <w:spacing w:after="0"/>
      </w:pPr>
      <w:r w:rsidRPr="007E1A54">
        <w:t>For UL transmissions in a serving cell with carrier bandwidth greater than LBT bandwidth, for the case where UE performs CCA before UL transmission, support at least Alt. 1 among the following alternatives</w:t>
      </w:r>
    </w:p>
    <w:p w14:paraId="0B348EBB" w14:textId="77777777" w:rsidR="007E1A54" w:rsidRPr="007E1A54" w:rsidRDefault="007E1A54" w:rsidP="00086309">
      <w:pPr>
        <w:pStyle w:val="a4"/>
        <w:numPr>
          <w:ilvl w:val="0"/>
          <w:numId w:val="10"/>
        </w:numPr>
        <w:spacing w:after="0"/>
        <w:ind w:leftChars="0"/>
      </w:pPr>
      <w:r w:rsidRPr="007E1A54">
        <w:t>Alt. 1: UE transmits the PUSCH only if CCA is successful at UE in all LBT bandwidths of the scheduled PUSCH.</w:t>
      </w:r>
    </w:p>
    <w:p w14:paraId="7A544ECF" w14:textId="77777777" w:rsidR="007E1A54" w:rsidRPr="007E1A54" w:rsidRDefault="007E1A54" w:rsidP="00086309">
      <w:pPr>
        <w:pStyle w:val="a4"/>
        <w:numPr>
          <w:ilvl w:val="0"/>
          <w:numId w:val="9"/>
        </w:numPr>
        <w:spacing w:after="0"/>
        <w:ind w:leftChars="0"/>
      </w:pPr>
      <w:r w:rsidRPr="007E1A54">
        <w:t xml:space="preserve">Alt. 2: </w:t>
      </w:r>
      <w:r w:rsidRPr="007E1A54">
        <w:rPr>
          <w:rFonts w:hint="eastAsia"/>
        </w:rPr>
        <w:t xml:space="preserve">UE transmits </w:t>
      </w:r>
      <w:r w:rsidRPr="007E1A54">
        <w:t xml:space="preserve">the PUSCH in all or a subset of LBT bandwidths of the scheduled PUSCH for which CCA is successful at the UE. </w:t>
      </w:r>
    </w:p>
    <w:p w14:paraId="0F6041DB" w14:textId="77777777" w:rsidR="007E1A54" w:rsidRPr="007E1A54" w:rsidRDefault="007E1A54" w:rsidP="00086309">
      <w:pPr>
        <w:pStyle w:val="a4"/>
        <w:numPr>
          <w:ilvl w:val="1"/>
          <w:numId w:val="9"/>
        </w:numPr>
        <w:spacing w:after="0"/>
        <w:ind w:leftChars="0"/>
      </w:pPr>
      <w:r w:rsidRPr="007E1A54">
        <w:t>Decision on whether this alternative is supported will depend on feedback from RAN4</w:t>
      </w:r>
    </w:p>
    <w:p w14:paraId="7ACB1C56" w14:textId="77777777" w:rsidR="007E1A54" w:rsidRPr="007E1A54" w:rsidRDefault="007E1A54" w:rsidP="00086309">
      <w:pPr>
        <w:pStyle w:val="a4"/>
        <w:numPr>
          <w:ilvl w:val="1"/>
          <w:numId w:val="9"/>
        </w:numPr>
        <w:spacing w:after="0"/>
        <w:ind w:leftChars="0"/>
      </w:pPr>
      <w:r w:rsidRPr="007E1A54">
        <w:rPr>
          <w:rFonts w:hint="eastAsia"/>
        </w:rPr>
        <w:t>F</w:t>
      </w:r>
      <w:r w:rsidRPr="007E1A54">
        <w:t>FS on restrictions to the subset of LBT bandwidths, e.g., only contiguous LBT bandwidths allowed, based on feedback from RAN4</w:t>
      </w:r>
    </w:p>
    <w:p w14:paraId="5D0B0EC5" w14:textId="77777777" w:rsidR="007E1A54" w:rsidRPr="007E1A54" w:rsidRDefault="007E1A54" w:rsidP="00086309">
      <w:pPr>
        <w:pStyle w:val="a4"/>
        <w:numPr>
          <w:ilvl w:val="0"/>
          <w:numId w:val="11"/>
        </w:numPr>
        <w:spacing w:after="0"/>
        <w:ind w:leftChars="0"/>
      </w:pPr>
      <w:r w:rsidRPr="007E1A54">
        <w:t>Necessity of guard bands within the scheduled PUSCH should be determined by RAN4</w:t>
      </w:r>
    </w:p>
    <w:p w14:paraId="0C427B67" w14:textId="77777777" w:rsidR="007E1A54" w:rsidRPr="007E1A54" w:rsidRDefault="007E1A54" w:rsidP="00086309">
      <w:pPr>
        <w:pStyle w:val="a4"/>
        <w:numPr>
          <w:ilvl w:val="0"/>
          <w:numId w:val="11"/>
        </w:numPr>
        <w:spacing w:after="0"/>
        <w:ind w:leftChars="0"/>
      </w:pPr>
      <w:r w:rsidRPr="007E1A54">
        <w:t>FFS: Whether this applies also to configured grant PUSCH</w:t>
      </w:r>
    </w:p>
    <w:p w14:paraId="594A9A26" w14:textId="627E8AAC" w:rsidR="00BD232E" w:rsidRPr="007E1A54" w:rsidRDefault="007E1A54" w:rsidP="00086309">
      <w:pPr>
        <w:pStyle w:val="a4"/>
        <w:numPr>
          <w:ilvl w:val="0"/>
          <w:numId w:val="11"/>
        </w:numPr>
        <w:ind w:leftChars="0"/>
      </w:pPr>
      <w:r w:rsidRPr="007E1A54">
        <w:t>FFS: Whether this applies also to PUCCH</w:t>
      </w:r>
    </w:p>
    <w:p w14:paraId="7719397F" w14:textId="77777777" w:rsidR="007E1A54" w:rsidRPr="007E1A54" w:rsidRDefault="007E1A54" w:rsidP="00086309">
      <w:pPr>
        <w:spacing w:after="0"/>
      </w:pPr>
      <w:r w:rsidRPr="007E1A54">
        <w:rPr>
          <w:highlight w:val="green"/>
        </w:rPr>
        <w:t>Agreement:</w:t>
      </w:r>
    </w:p>
    <w:p w14:paraId="1DBFB194" w14:textId="77777777" w:rsidR="007E1A54" w:rsidRPr="007E1A54" w:rsidRDefault="007E1A54" w:rsidP="00086309">
      <w:pPr>
        <w:pStyle w:val="a4"/>
        <w:numPr>
          <w:ilvl w:val="0"/>
          <w:numId w:val="14"/>
        </w:numPr>
        <w:spacing w:after="0"/>
        <w:ind w:leftChars="0"/>
      </w:pPr>
      <w:r w:rsidRPr="007E1A54">
        <w:t xml:space="preserve">Support a mechanism for a UE to detect </w:t>
      </w:r>
      <w:proofErr w:type="spellStart"/>
      <w:r w:rsidRPr="007E1A54">
        <w:t>gNB</w:t>
      </w:r>
      <w:proofErr w:type="spellEnd"/>
      <w:r w:rsidRPr="007E1A54">
        <w:t xml:space="preserve"> is transmitting across</w:t>
      </w:r>
    </w:p>
    <w:p w14:paraId="5E0C38BB" w14:textId="77777777" w:rsidR="007E1A54" w:rsidRPr="007E1A54" w:rsidRDefault="007E1A54" w:rsidP="00086309">
      <w:pPr>
        <w:pStyle w:val="a4"/>
        <w:numPr>
          <w:ilvl w:val="0"/>
          <w:numId w:val="13"/>
        </w:numPr>
        <w:spacing w:after="0"/>
        <w:ind w:leftChars="0"/>
      </w:pPr>
      <w:r w:rsidRPr="007E1A54">
        <w:t xml:space="preserve">Multiple carriers </w:t>
      </w:r>
    </w:p>
    <w:p w14:paraId="15E94018" w14:textId="77777777" w:rsidR="007E1A54" w:rsidRPr="007E1A54" w:rsidRDefault="007E1A54" w:rsidP="00086309">
      <w:pPr>
        <w:pStyle w:val="a4"/>
        <w:numPr>
          <w:ilvl w:val="0"/>
          <w:numId w:val="13"/>
        </w:numPr>
        <w:spacing w:after="0"/>
        <w:ind w:leftChars="0"/>
      </w:pPr>
      <w:r w:rsidRPr="007E1A54">
        <w:t xml:space="preserve">Multiple LBT bandwidths in a carrier. </w:t>
      </w:r>
    </w:p>
    <w:p w14:paraId="304C8A3F" w14:textId="77777777" w:rsidR="007E1A54" w:rsidRPr="007E1A54" w:rsidRDefault="007E1A54" w:rsidP="00086309">
      <w:pPr>
        <w:pStyle w:val="a4"/>
        <w:numPr>
          <w:ilvl w:val="0"/>
          <w:numId w:val="14"/>
        </w:numPr>
        <w:spacing w:after="0"/>
        <w:ind w:leftChars="0"/>
      </w:pPr>
      <w:r w:rsidRPr="007E1A54">
        <w:t>The following mechanisms are to be considered:</w:t>
      </w:r>
    </w:p>
    <w:p w14:paraId="03606F34" w14:textId="77777777" w:rsidR="007E1A54" w:rsidRPr="007E1A54" w:rsidRDefault="007E1A54" w:rsidP="00086309">
      <w:pPr>
        <w:pStyle w:val="a4"/>
        <w:numPr>
          <w:ilvl w:val="0"/>
          <w:numId w:val="12"/>
        </w:numPr>
        <w:spacing w:after="0"/>
        <w:ind w:leftChars="0"/>
      </w:pPr>
      <w:r w:rsidRPr="007E1A54">
        <w:t>Option 1: Explicit indication via PDCCH</w:t>
      </w:r>
    </w:p>
    <w:p w14:paraId="2596C8FA" w14:textId="77777777" w:rsidR="007E1A54" w:rsidRPr="007E1A54" w:rsidRDefault="007E1A54" w:rsidP="00086309">
      <w:pPr>
        <w:pStyle w:val="a4"/>
        <w:numPr>
          <w:ilvl w:val="1"/>
          <w:numId w:val="12"/>
        </w:numPr>
        <w:spacing w:after="0"/>
        <w:ind w:leftChars="0"/>
      </w:pPr>
      <w:r w:rsidRPr="007E1A54">
        <w:t>FFS: The type of PDCCH (e.g., group common PDCCH or UE-specific PDCCH)</w:t>
      </w:r>
    </w:p>
    <w:p w14:paraId="24A8E34F" w14:textId="77777777" w:rsidR="007E1A54" w:rsidRPr="007E1A54" w:rsidRDefault="007E1A54" w:rsidP="00086309">
      <w:pPr>
        <w:pStyle w:val="a4"/>
        <w:numPr>
          <w:ilvl w:val="1"/>
          <w:numId w:val="12"/>
        </w:numPr>
        <w:spacing w:after="0"/>
        <w:ind w:leftChars="0"/>
      </w:pPr>
      <w:r w:rsidRPr="007E1A54">
        <w:t xml:space="preserve">FFS: </w:t>
      </w:r>
      <w:proofErr w:type="spellStart"/>
      <w:r w:rsidRPr="007E1A54">
        <w:t>Signaling</w:t>
      </w:r>
      <w:proofErr w:type="spellEnd"/>
      <w:r w:rsidRPr="007E1A54">
        <w:t xml:space="preserve"> details of the indication</w:t>
      </w:r>
    </w:p>
    <w:p w14:paraId="7E2501EC" w14:textId="77777777" w:rsidR="007E1A54" w:rsidRPr="007E1A54" w:rsidRDefault="007E1A54" w:rsidP="00086309">
      <w:pPr>
        <w:pStyle w:val="a4"/>
        <w:numPr>
          <w:ilvl w:val="0"/>
          <w:numId w:val="12"/>
        </w:numPr>
        <w:spacing w:after="0"/>
        <w:ind w:leftChars="0"/>
      </w:pPr>
      <w:r w:rsidRPr="007E1A54">
        <w:t>Option 2: Explicit indication via selection of a PDCCH DM-RS sequence from a set of PDCCH DM-RS sequences</w:t>
      </w:r>
    </w:p>
    <w:p w14:paraId="6CC7ABB9" w14:textId="77777777" w:rsidR="007E1A54" w:rsidRPr="007E1A54" w:rsidRDefault="007E1A54" w:rsidP="00086309">
      <w:pPr>
        <w:pStyle w:val="a4"/>
        <w:numPr>
          <w:ilvl w:val="1"/>
          <w:numId w:val="12"/>
        </w:numPr>
        <w:spacing w:after="0"/>
        <w:ind w:leftChars="0"/>
      </w:pPr>
      <w:r w:rsidRPr="007E1A54">
        <w:t>FFS: Details of the indication</w:t>
      </w:r>
    </w:p>
    <w:p w14:paraId="4313D51D" w14:textId="77777777" w:rsidR="007E1A54" w:rsidRPr="007E1A54" w:rsidRDefault="007E1A54" w:rsidP="00086309">
      <w:pPr>
        <w:pStyle w:val="a4"/>
        <w:numPr>
          <w:ilvl w:val="0"/>
          <w:numId w:val="12"/>
        </w:numPr>
        <w:spacing w:after="0"/>
        <w:ind w:leftChars="0"/>
      </w:pPr>
      <w:r w:rsidRPr="007E1A54">
        <w:t>Option 3: Via UE implementation, i.e., implicit method based on NR-based signal such as DM-RS and/or corresponding PDCCH detection</w:t>
      </w:r>
    </w:p>
    <w:p w14:paraId="6AE38B94" w14:textId="77777777" w:rsidR="007E1A54" w:rsidRPr="007E1A54" w:rsidRDefault="007E1A54" w:rsidP="00086309">
      <w:pPr>
        <w:pStyle w:val="a4"/>
        <w:numPr>
          <w:ilvl w:val="1"/>
          <w:numId w:val="12"/>
        </w:numPr>
        <w:spacing w:after="0"/>
        <w:ind w:leftChars="0"/>
      </w:pPr>
      <w:r w:rsidRPr="007E1A54">
        <w:t>FFS: Which signals/channels or combination of signals/channels could be used by the UE</w:t>
      </w:r>
    </w:p>
    <w:p w14:paraId="049C3D35" w14:textId="2E536558" w:rsidR="001A0519" w:rsidRPr="002474BC" w:rsidRDefault="007E1A54" w:rsidP="00086309">
      <w:pPr>
        <w:pStyle w:val="a4"/>
        <w:numPr>
          <w:ilvl w:val="0"/>
          <w:numId w:val="12"/>
        </w:numPr>
        <w:ind w:leftChars="0"/>
      </w:pPr>
      <w:r w:rsidRPr="001A0519">
        <w:t>Note: Above options are not mutually exclusive</w:t>
      </w:r>
    </w:p>
    <w:p w14:paraId="2C9958EB" w14:textId="7E4B8407" w:rsidR="007E1A54" w:rsidRDefault="007E1A54" w:rsidP="00086309">
      <w:r w:rsidRPr="00A767F6">
        <w:rPr>
          <w:rFonts w:hint="eastAsia"/>
        </w:rPr>
        <w:t>I</w:t>
      </w:r>
      <w:r w:rsidRPr="00A767F6">
        <w:t>n addition, RAN4</w:t>
      </w:r>
      <w:r w:rsidR="00A767F6" w:rsidRPr="00A767F6">
        <w:t xml:space="preserve"> sent a LS</w:t>
      </w:r>
      <w:r w:rsidRPr="00A767F6">
        <w:t xml:space="preserve"> </w:t>
      </w:r>
      <w:r w:rsidR="00A767F6" w:rsidRPr="00A767F6">
        <w:t xml:space="preserve">response informing the following </w:t>
      </w:r>
      <w:r w:rsidR="00A769DE">
        <w:t xml:space="preserve">latest </w:t>
      </w:r>
      <w:r w:rsidR="00A767F6" w:rsidRPr="00A767F6">
        <w:t xml:space="preserve">agreements regarding the DL </w:t>
      </w:r>
      <w:r w:rsidR="002474BC">
        <w:t>WB</w:t>
      </w:r>
      <w:r w:rsidR="00A767F6" w:rsidRPr="00A767F6">
        <w:t xml:space="preserve"> operation </w:t>
      </w:r>
      <w:r w:rsidRPr="00A767F6">
        <w:t>[2]:</w:t>
      </w:r>
    </w:p>
    <w:p w14:paraId="75EF710E" w14:textId="77777777" w:rsidR="007E1A54" w:rsidRPr="007E1A54" w:rsidRDefault="007E1A54" w:rsidP="00086309">
      <w:pPr>
        <w:pStyle w:val="a4"/>
        <w:numPr>
          <w:ilvl w:val="0"/>
          <w:numId w:val="15"/>
        </w:numPr>
        <w:spacing w:after="0"/>
        <w:ind w:leftChars="0" w:hanging="357"/>
      </w:pPr>
      <w:r w:rsidRPr="007E1A54">
        <w:t xml:space="preserve">It is feasible to operate single carrier wideband operation when </w:t>
      </w:r>
      <w:proofErr w:type="spellStart"/>
      <w:r w:rsidRPr="007E1A54">
        <w:t>when</w:t>
      </w:r>
      <w:proofErr w:type="spellEnd"/>
      <w:r w:rsidRPr="007E1A54">
        <w:t xml:space="preserve"> LBT is successful in all LBT sub-bands</w:t>
      </w:r>
    </w:p>
    <w:p w14:paraId="5AC5417E" w14:textId="08191414" w:rsidR="007E1A54" w:rsidRPr="007E1A54" w:rsidRDefault="007E1A54" w:rsidP="00086309">
      <w:pPr>
        <w:pStyle w:val="a4"/>
        <w:numPr>
          <w:ilvl w:val="1"/>
          <w:numId w:val="15"/>
        </w:numPr>
        <w:spacing w:after="0"/>
        <w:ind w:leftChars="0" w:hanging="357"/>
      </w:pPr>
      <w:r w:rsidRPr="007E1A54">
        <w:t xml:space="preserve">FFS whether </w:t>
      </w:r>
      <w:proofErr w:type="spellStart"/>
      <w:r w:rsidRPr="007E1A54">
        <w:t>guardbands</w:t>
      </w:r>
      <w:proofErr w:type="spellEnd"/>
      <w:r w:rsidRPr="007E1A54">
        <w:t xml:space="preserve"> are needed in between LBT sub-bands or not</w:t>
      </w:r>
    </w:p>
    <w:p w14:paraId="5C6E601B" w14:textId="77777777" w:rsidR="007E1A54" w:rsidRPr="007E1A54" w:rsidRDefault="007E1A54" w:rsidP="00086309">
      <w:pPr>
        <w:pStyle w:val="a4"/>
        <w:numPr>
          <w:ilvl w:val="0"/>
          <w:numId w:val="15"/>
        </w:numPr>
        <w:spacing w:after="0"/>
        <w:ind w:leftChars="0" w:hanging="357"/>
      </w:pPr>
      <w:r w:rsidRPr="00086309">
        <w:rPr>
          <w:u w:val="single"/>
        </w:rPr>
        <w:t>Mode 2</w:t>
      </w:r>
      <w:r w:rsidRPr="007E1A54">
        <w:t xml:space="preserve"> (Single wideband carrier when LBT is successful in a subset of the LBT sub-bands which are contiguous) is feasible at least if PRBs within the </w:t>
      </w:r>
      <w:proofErr w:type="spellStart"/>
      <w:r w:rsidRPr="007E1A54">
        <w:t>guardband</w:t>
      </w:r>
      <w:proofErr w:type="spellEnd"/>
      <w:r w:rsidRPr="007E1A54">
        <w:t xml:space="preserve"> of two contiguous LBT sub-bands are not scheduled by </w:t>
      </w:r>
      <w:proofErr w:type="spellStart"/>
      <w:r w:rsidRPr="007E1A54">
        <w:t>gNB</w:t>
      </w:r>
      <w:proofErr w:type="spellEnd"/>
      <w:r w:rsidRPr="007E1A54">
        <w:t>.</w:t>
      </w:r>
    </w:p>
    <w:p w14:paraId="1169C3C7" w14:textId="77777777" w:rsidR="007E1A54" w:rsidRPr="007E1A54" w:rsidRDefault="007E1A54" w:rsidP="00086309">
      <w:pPr>
        <w:pStyle w:val="a4"/>
        <w:numPr>
          <w:ilvl w:val="1"/>
          <w:numId w:val="15"/>
        </w:numPr>
        <w:spacing w:after="0"/>
        <w:ind w:leftChars="0" w:hanging="357"/>
      </w:pPr>
      <w:r w:rsidRPr="007E1A54">
        <w:t xml:space="preserve">FFS filter adaptation time if PRBs within the </w:t>
      </w:r>
      <w:proofErr w:type="spellStart"/>
      <w:r w:rsidRPr="007E1A54">
        <w:t>guardband</w:t>
      </w:r>
      <w:proofErr w:type="spellEnd"/>
      <w:r w:rsidRPr="007E1A54">
        <w:t xml:space="preserve"> of two contiguous LBT sub-bands </w:t>
      </w:r>
      <w:r w:rsidRPr="007E1A54">
        <w:lastRenderedPageBreak/>
        <w:t xml:space="preserve">are scheduled by </w:t>
      </w:r>
      <w:proofErr w:type="spellStart"/>
      <w:r w:rsidRPr="007E1A54">
        <w:t>gNB</w:t>
      </w:r>
      <w:proofErr w:type="spellEnd"/>
      <w:r w:rsidRPr="007E1A54">
        <w:t>.</w:t>
      </w:r>
    </w:p>
    <w:p w14:paraId="21886636" w14:textId="77777777" w:rsidR="007E1A54" w:rsidRPr="007E1A54" w:rsidRDefault="007E1A54" w:rsidP="00086309">
      <w:pPr>
        <w:pStyle w:val="a4"/>
        <w:numPr>
          <w:ilvl w:val="1"/>
          <w:numId w:val="15"/>
        </w:numPr>
        <w:spacing w:after="0"/>
        <w:ind w:leftChars="0" w:hanging="357"/>
      </w:pPr>
      <w:r w:rsidRPr="007E1A54">
        <w:t xml:space="preserve">is feasible at least for </w:t>
      </w:r>
      <w:proofErr w:type="spellStart"/>
      <w:r w:rsidRPr="007E1A54">
        <w:t>WiFi</w:t>
      </w:r>
      <w:proofErr w:type="spellEnd"/>
      <w:r w:rsidRPr="007E1A54">
        <w:t>-like requirements for in-carrier leakage (e.g. 20dbr).</w:t>
      </w:r>
    </w:p>
    <w:p w14:paraId="08C5F2F2" w14:textId="77777777" w:rsidR="007E1A54" w:rsidRPr="007E1A54" w:rsidRDefault="007E1A54" w:rsidP="00086309">
      <w:pPr>
        <w:pStyle w:val="a4"/>
        <w:numPr>
          <w:ilvl w:val="1"/>
          <w:numId w:val="15"/>
        </w:numPr>
        <w:spacing w:after="0"/>
        <w:ind w:leftChars="0" w:hanging="357"/>
      </w:pPr>
      <w:r w:rsidRPr="007E1A54">
        <w:t xml:space="preserve">FFS what regional regulatory requirements apply in LBT sub-bands where LBT fails. </w:t>
      </w:r>
    </w:p>
    <w:p w14:paraId="583F6CFF" w14:textId="308D8E15" w:rsidR="007E1A54" w:rsidRPr="007E1A54" w:rsidRDefault="007E1A54" w:rsidP="00086309">
      <w:pPr>
        <w:pStyle w:val="a4"/>
        <w:numPr>
          <w:ilvl w:val="2"/>
          <w:numId w:val="15"/>
        </w:numPr>
        <w:spacing w:after="0"/>
        <w:ind w:leftChars="0" w:hanging="357"/>
      </w:pPr>
      <w:r w:rsidRPr="007E1A54">
        <w:t>RAN4 will investigate the feasibility whether regional regulatory requirements are met or not for in-carrier leakage.</w:t>
      </w:r>
    </w:p>
    <w:p w14:paraId="14454F07" w14:textId="04DA236F" w:rsidR="007E1A54" w:rsidRPr="007E1A54" w:rsidRDefault="007E1A54" w:rsidP="00086309">
      <w:pPr>
        <w:pStyle w:val="a4"/>
        <w:numPr>
          <w:ilvl w:val="0"/>
          <w:numId w:val="15"/>
        </w:numPr>
        <w:spacing w:after="0"/>
        <w:ind w:leftChars="0" w:hanging="357"/>
      </w:pPr>
      <w:r w:rsidRPr="00086309">
        <w:rPr>
          <w:u w:val="single"/>
        </w:rPr>
        <w:t>Mode 3</w:t>
      </w:r>
      <w:r w:rsidRPr="007E1A54">
        <w:t xml:space="preserve"> (Single wideband carrier when LBT is successful in a subset of the LBT sub-bands which are non-contiguou</w:t>
      </w:r>
      <w:r>
        <w:t>s)</w:t>
      </w:r>
    </w:p>
    <w:p w14:paraId="41F57198" w14:textId="77777777" w:rsidR="007E1A54" w:rsidRPr="007E1A54" w:rsidRDefault="007E1A54" w:rsidP="00086309">
      <w:pPr>
        <w:pStyle w:val="a4"/>
        <w:numPr>
          <w:ilvl w:val="1"/>
          <w:numId w:val="15"/>
        </w:numPr>
        <w:spacing w:after="0"/>
        <w:ind w:leftChars="0" w:hanging="357"/>
        <w:rPr>
          <w:lang w:eastAsia="en-US"/>
        </w:rPr>
      </w:pPr>
      <w:r w:rsidRPr="007E1A54">
        <w:rPr>
          <w:lang w:eastAsia="en-US"/>
        </w:rPr>
        <w:t xml:space="preserve">is feasible at least if PRBs within the </w:t>
      </w:r>
      <w:proofErr w:type="spellStart"/>
      <w:r w:rsidRPr="007E1A54">
        <w:rPr>
          <w:lang w:eastAsia="en-US"/>
        </w:rPr>
        <w:t>guardband</w:t>
      </w:r>
      <w:proofErr w:type="spellEnd"/>
      <w:r w:rsidRPr="007E1A54">
        <w:rPr>
          <w:lang w:eastAsia="en-US"/>
        </w:rPr>
        <w:t xml:space="preserve"> of two contiguous LBT sub-bands are not scheduled by </w:t>
      </w:r>
      <w:proofErr w:type="spellStart"/>
      <w:r w:rsidRPr="007E1A54">
        <w:rPr>
          <w:lang w:eastAsia="en-US"/>
        </w:rPr>
        <w:t>gNB</w:t>
      </w:r>
      <w:proofErr w:type="spellEnd"/>
      <w:r w:rsidRPr="007E1A54">
        <w:rPr>
          <w:lang w:eastAsia="en-US"/>
        </w:rPr>
        <w:t xml:space="preserve">. </w:t>
      </w:r>
    </w:p>
    <w:p w14:paraId="0013BAF3" w14:textId="77777777" w:rsidR="007E1A54" w:rsidRPr="007E1A54" w:rsidRDefault="007E1A54" w:rsidP="00086309">
      <w:pPr>
        <w:pStyle w:val="a4"/>
        <w:numPr>
          <w:ilvl w:val="1"/>
          <w:numId w:val="15"/>
        </w:numPr>
        <w:spacing w:after="0"/>
        <w:ind w:leftChars="0" w:hanging="357"/>
        <w:rPr>
          <w:lang w:eastAsia="en-US"/>
        </w:rPr>
      </w:pPr>
      <w:r w:rsidRPr="007E1A54">
        <w:rPr>
          <w:lang w:eastAsia="en-US"/>
        </w:rPr>
        <w:t xml:space="preserve">is feasible at least for </w:t>
      </w:r>
      <w:proofErr w:type="spellStart"/>
      <w:r w:rsidRPr="007E1A54">
        <w:rPr>
          <w:lang w:eastAsia="en-US"/>
        </w:rPr>
        <w:t>WiFi</w:t>
      </w:r>
      <w:proofErr w:type="spellEnd"/>
      <w:r w:rsidRPr="007E1A54">
        <w:rPr>
          <w:lang w:eastAsia="en-US"/>
        </w:rPr>
        <w:t>-like requirements for in-carrier leakage (e.g. 20dbr).</w:t>
      </w:r>
    </w:p>
    <w:p w14:paraId="0FF7B0E1" w14:textId="77777777" w:rsidR="007E1A54" w:rsidRPr="007E1A54" w:rsidRDefault="007E1A54" w:rsidP="00086309">
      <w:pPr>
        <w:pStyle w:val="a4"/>
        <w:numPr>
          <w:ilvl w:val="1"/>
          <w:numId w:val="15"/>
        </w:numPr>
        <w:spacing w:after="0"/>
        <w:ind w:leftChars="0" w:hanging="357"/>
        <w:rPr>
          <w:lang w:eastAsia="en-US"/>
        </w:rPr>
      </w:pPr>
      <w:r w:rsidRPr="007E1A54">
        <w:rPr>
          <w:lang w:eastAsia="en-US"/>
        </w:rPr>
        <w:t xml:space="preserve">FFS what regional regulatory requirements apply in LBT sub-bands where LBT fails. </w:t>
      </w:r>
    </w:p>
    <w:p w14:paraId="2C496ED9" w14:textId="77777777" w:rsidR="007E1A54" w:rsidRPr="007E1A54" w:rsidRDefault="007E1A54" w:rsidP="00086309">
      <w:pPr>
        <w:pStyle w:val="a4"/>
        <w:numPr>
          <w:ilvl w:val="2"/>
          <w:numId w:val="15"/>
        </w:numPr>
        <w:spacing w:after="0"/>
        <w:ind w:leftChars="0" w:hanging="357"/>
        <w:rPr>
          <w:lang w:eastAsia="en-US"/>
        </w:rPr>
      </w:pPr>
      <w:r w:rsidRPr="007E1A54">
        <w:rPr>
          <w:lang w:eastAsia="en-US"/>
        </w:rPr>
        <w:t xml:space="preserve">RAN4 will investigate the feasibility whether regional regulatory requirements are met or not for in-carrier leakage. </w:t>
      </w:r>
    </w:p>
    <w:p w14:paraId="182E4A6D" w14:textId="77777777" w:rsidR="007E1A54" w:rsidRPr="007E1A54" w:rsidRDefault="007E1A54" w:rsidP="00086309">
      <w:pPr>
        <w:pStyle w:val="a4"/>
        <w:numPr>
          <w:ilvl w:val="1"/>
          <w:numId w:val="15"/>
        </w:numPr>
        <w:spacing w:after="0"/>
        <w:ind w:leftChars="0" w:hanging="357"/>
        <w:rPr>
          <w:lang w:eastAsia="en-US"/>
        </w:rPr>
      </w:pPr>
      <w:r w:rsidRPr="007E1A54">
        <w:rPr>
          <w:lang w:eastAsia="en-US"/>
        </w:rPr>
        <w:t>FFS what level of in-carrier leakage and blocking requirements can be met at the BS and UE</w:t>
      </w:r>
    </w:p>
    <w:p w14:paraId="42EA05D3" w14:textId="77777777" w:rsidR="007E1A54" w:rsidRPr="007E1A54" w:rsidRDefault="007E1A54" w:rsidP="00086309">
      <w:pPr>
        <w:pStyle w:val="a4"/>
        <w:numPr>
          <w:ilvl w:val="1"/>
          <w:numId w:val="15"/>
        </w:numPr>
        <w:spacing w:after="0"/>
        <w:ind w:leftChars="0" w:hanging="357"/>
        <w:rPr>
          <w:lang w:eastAsia="en-US"/>
        </w:rPr>
      </w:pPr>
      <w:r w:rsidRPr="007E1A54">
        <w:rPr>
          <w:lang w:eastAsia="en-US"/>
        </w:rPr>
        <w:t>FFS how to specify this in RAN4</w:t>
      </w:r>
    </w:p>
    <w:p w14:paraId="10EA26AD" w14:textId="40F77C15" w:rsidR="001A0519" w:rsidRPr="002474BC" w:rsidRDefault="007E1A54" w:rsidP="00086309">
      <w:pPr>
        <w:pStyle w:val="a4"/>
        <w:numPr>
          <w:ilvl w:val="1"/>
          <w:numId w:val="15"/>
        </w:numPr>
        <w:ind w:leftChars="0"/>
        <w:rPr>
          <w:lang w:eastAsia="en-US"/>
        </w:rPr>
      </w:pPr>
      <w:r w:rsidRPr="007E1A54">
        <w:rPr>
          <w:lang w:eastAsia="en-US"/>
        </w:rPr>
        <w:t xml:space="preserve">FFS filter adaptation time if PRBs within the </w:t>
      </w:r>
      <w:proofErr w:type="spellStart"/>
      <w:r w:rsidRPr="007E1A54">
        <w:rPr>
          <w:lang w:eastAsia="en-US"/>
        </w:rPr>
        <w:t>guardband</w:t>
      </w:r>
      <w:proofErr w:type="spellEnd"/>
      <w:r w:rsidRPr="007E1A54">
        <w:rPr>
          <w:lang w:eastAsia="en-US"/>
        </w:rPr>
        <w:t xml:space="preserve"> of two contiguous LBT sub-bands are scheduled by </w:t>
      </w:r>
      <w:proofErr w:type="spellStart"/>
      <w:r w:rsidRPr="007E1A54">
        <w:rPr>
          <w:lang w:eastAsia="en-US"/>
        </w:rPr>
        <w:t>gNB</w:t>
      </w:r>
      <w:proofErr w:type="spellEnd"/>
      <w:r w:rsidRPr="007E1A54">
        <w:rPr>
          <w:lang w:eastAsia="en-US"/>
        </w:rPr>
        <w:t>.</w:t>
      </w:r>
    </w:p>
    <w:p w14:paraId="5C44AC83" w14:textId="0F31AC94" w:rsidR="00CF5075" w:rsidRPr="00086309" w:rsidRDefault="002474BC" w:rsidP="00086309">
      <w:r w:rsidRPr="00086309">
        <w:t>This contribution discusses</w:t>
      </w:r>
      <w:r w:rsidR="00CF5075" w:rsidRPr="00086309">
        <w:rPr>
          <w:rFonts w:hint="eastAsia"/>
        </w:rPr>
        <w:t xml:space="preserve"> </w:t>
      </w:r>
      <w:r w:rsidR="00A769DE" w:rsidRPr="00086309">
        <w:t xml:space="preserve">present issues regarding </w:t>
      </w:r>
      <w:r w:rsidR="00A27DD4" w:rsidRPr="00086309">
        <w:t>wideband operation in NR-U</w:t>
      </w:r>
      <w:r w:rsidRPr="00086309">
        <w:t>,</w:t>
      </w:r>
      <w:r w:rsidR="002C45E7" w:rsidRPr="00086309">
        <w:t xml:space="preserve"> </w:t>
      </w:r>
      <w:r w:rsidRPr="00086309">
        <w:t>focusing on</w:t>
      </w:r>
      <w:r w:rsidR="002C45E7" w:rsidRPr="00086309">
        <w:t xml:space="preserve"> </w:t>
      </w:r>
      <w:r w:rsidRPr="00086309">
        <w:t xml:space="preserve">mechanism for </w:t>
      </w:r>
      <w:r w:rsidR="002C45E7" w:rsidRPr="00086309">
        <w:t xml:space="preserve">Tx bandwidth indication, </w:t>
      </w:r>
      <w:r w:rsidR="00F93644" w:rsidRPr="00086309">
        <w:t>CORESET configuration</w:t>
      </w:r>
      <w:r w:rsidR="002C45E7" w:rsidRPr="00086309">
        <w:t>, bandwidth part and guard band configuration, and Tx bandwidth adaptation</w:t>
      </w:r>
      <w:r w:rsidR="00A27DD4" w:rsidRPr="00086309">
        <w:t>.</w:t>
      </w:r>
    </w:p>
    <w:p w14:paraId="74E559F2" w14:textId="77777777" w:rsidR="009F799D" w:rsidRPr="003705F8" w:rsidRDefault="009F799D" w:rsidP="00086309"/>
    <w:p w14:paraId="5298FE59" w14:textId="2CC4B71F" w:rsidR="00E95597" w:rsidRDefault="00DF38E6" w:rsidP="00086309">
      <w:pPr>
        <w:pStyle w:val="1"/>
      </w:pPr>
      <w:r>
        <w:t>Discussion</w:t>
      </w:r>
    </w:p>
    <w:p w14:paraId="1772C131" w14:textId="63FDC3C2" w:rsidR="00A767F6" w:rsidRPr="00086309" w:rsidRDefault="006E68D2" w:rsidP="00086309">
      <w:pPr>
        <w:pStyle w:val="4"/>
      </w:pPr>
      <w:r w:rsidRPr="00086309">
        <w:t xml:space="preserve">Indication of </w:t>
      </w:r>
      <w:proofErr w:type="spellStart"/>
      <w:r w:rsidRPr="00086309">
        <w:t>gNB’s</w:t>
      </w:r>
      <w:proofErr w:type="spellEnd"/>
      <w:r w:rsidRPr="00086309">
        <w:t xml:space="preserve"> LBT outcome</w:t>
      </w:r>
    </w:p>
    <w:p w14:paraId="65C2381A" w14:textId="23867F9E" w:rsidR="004C5337" w:rsidRDefault="00DD26C4" w:rsidP="00086309">
      <w:r>
        <w:rPr>
          <w:rFonts w:hint="eastAsia"/>
        </w:rPr>
        <w:t>I</w:t>
      </w:r>
      <w:r>
        <w:t>n NR-U, UE performs DL burst detection for efficient DL transmissions</w:t>
      </w:r>
      <w:r w:rsidR="00E04117">
        <w:t>, which would be a common operation irrespective of the carrier bandwidth</w:t>
      </w:r>
      <w:r>
        <w:t>.</w:t>
      </w:r>
      <w:r w:rsidR="00191E5B">
        <w:t xml:space="preserve"> </w:t>
      </w:r>
      <w:r w:rsidR="004C5337">
        <w:t xml:space="preserve">If </w:t>
      </w:r>
      <w:r w:rsidR="00E04117">
        <w:t xml:space="preserve">the UE is configured with carrier(s) composed of </w:t>
      </w:r>
      <w:r w:rsidR="004C5337">
        <w:t xml:space="preserve">multiple LBT </w:t>
      </w:r>
      <w:proofErr w:type="spellStart"/>
      <w:r w:rsidR="004C5337">
        <w:t>subbands</w:t>
      </w:r>
      <w:proofErr w:type="spellEnd"/>
      <w:r w:rsidR="004C5337">
        <w:t xml:space="preserve">, </w:t>
      </w:r>
      <w:r w:rsidR="00E04117">
        <w:t xml:space="preserve">the </w:t>
      </w:r>
      <w:r w:rsidR="004C5337">
        <w:t xml:space="preserve">UE may additionally acquire information </w:t>
      </w:r>
      <w:r w:rsidR="00E04117">
        <w:t>of</w:t>
      </w:r>
      <w:r w:rsidR="004C5337">
        <w:t xml:space="preserve"> Tx bandwidth, i.e., </w:t>
      </w:r>
      <w:r w:rsidR="00E04117">
        <w:t>a</w:t>
      </w:r>
      <w:r w:rsidR="004C5337">
        <w:t xml:space="preserve"> set of </w:t>
      </w:r>
      <w:proofErr w:type="spellStart"/>
      <w:r w:rsidR="00E04117">
        <w:t>gNB</w:t>
      </w:r>
      <w:proofErr w:type="spellEnd"/>
      <w:r w:rsidR="00E04117">
        <w:t xml:space="preserve"> occupied </w:t>
      </w:r>
      <w:r w:rsidR="004C5337">
        <w:t xml:space="preserve">LBT </w:t>
      </w:r>
      <w:proofErr w:type="spellStart"/>
      <w:r w:rsidR="004C5337">
        <w:t>subbands</w:t>
      </w:r>
      <w:proofErr w:type="spellEnd"/>
      <w:r w:rsidR="001A0519">
        <w:t>,</w:t>
      </w:r>
      <w:r w:rsidR="00830271">
        <w:t xml:space="preserve"> </w:t>
      </w:r>
      <w:r w:rsidR="00E04117">
        <w:t xml:space="preserve">from the </w:t>
      </w:r>
      <w:proofErr w:type="spellStart"/>
      <w:r w:rsidR="00E04117">
        <w:t>gNB</w:t>
      </w:r>
      <w:proofErr w:type="spellEnd"/>
      <w:r w:rsidR="00E04117">
        <w:t xml:space="preserve"> </w:t>
      </w:r>
      <w:r w:rsidR="00830271">
        <w:t xml:space="preserve">for </w:t>
      </w:r>
      <w:r w:rsidR="00E04117">
        <w:t>wideband DL (and UL) operation</w:t>
      </w:r>
      <w:r w:rsidR="004C5337">
        <w:t xml:space="preserve">. </w:t>
      </w:r>
      <w:r w:rsidR="001A0519">
        <w:t xml:space="preserve">With regard to </w:t>
      </w:r>
      <w:r w:rsidR="00830271">
        <w:t>its</w:t>
      </w:r>
      <w:r w:rsidR="004C4192">
        <w:t xml:space="preserve"> indication mechanism, t</w:t>
      </w:r>
      <w:r w:rsidR="004C5337">
        <w:t xml:space="preserve">hree options were discussed in the last </w:t>
      </w:r>
      <w:r w:rsidR="004C4192">
        <w:t xml:space="preserve">RAN1 </w:t>
      </w:r>
      <w:r w:rsidR="004C5337">
        <w:t>meeting.</w:t>
      </w:r>
    </w:p>
    <w:p w14:paraId="681C1974" w14:textId="11DB0160" w:rsidR="007C7DAA" w:rsidRDefault="00830271" w:rsidP="00086309">
      <w:r>
        <w:rPr>
          <w:rFonts w:hint="eastAsia"/>
        </w:rPr>
        <w:t>O</w:t>
      </w:r>
      <w:r>
        <w:t xml:space="preserve">ption 3 is </w:t>
      </w:r>
      <w:r w:rsidR="00E04117">
        <w:t xml:space="preserve">an implicit indication method which can be </w:t>
      </w:r>
      <w:r w:rsidR="0047768C">
        <w:t xml:space="preserve">realized by </w:t>
      </w:r>
      <w:r w:rsidR="00E3397F">
        <w:t xml:space="preserve">UE and </w:t>
      </w:r>
      <w:proofErr w:type="spellStart"/>
      <w:r w:rsidR="00E3397F">
        <w:t>gNB</w:t>
      </w:r>
      <w:proofErr w:type="spellEnd"/>
      <w:r w:rsidR="00E3397F">
        <w:t xml:space="preserve"> implementation</w:t>
      </w:r>
      <w:r w:rsidR="0047768C">
        <w:t>. For example, a predefined signal for DL burst detection</w:t>
      </w:r>
      <w:r w:rsidR="003705F8">
        <w:t>, e.g., DMRS and corresponding PDCCH</w:t>
      </w:r>
      <w:r w:rsidR="0047768C">
        <w:t xml:space="preserve"> can be transmitted in each of the occupied LBT bandwidths. According to this approach, for the Tx bandwidth information to be successfully delivered, UE should succeed in the DL burst detection in every LBT </w:t>
      </w:r>
      <w:proofErr w:type="spellStart"/>
      <w:r w:rsidR="0047768C">
        <w:t>subband</w:t>
      </w:r>
      <w:proofErr w:type="spellEnd"/>
      <w:r w:rsidR="0047768C">
        <w:t xml:space="preserve">. Therefore, compared to other options where only one successful detection is sufficient, the indication mechanism of Option 3 is expected to be less reliable. In addition, according to Option 3, </w:t>
      </w:r>
      <w:r w:rsidR="007C7DAA">
        <w:t xml:space="preserve">the signalling overhead and the BD complexity grow proportional to the number of the occupied LBT </w:t>
      </w:r>
      <w:proofErr w:type="spellStart"/>
      <w:r w:rsidR="007C7DAA">
        <w:t>subbands</w:t>
      </w:r>
      <w:proofErr w:type="spellEnd"/>
      <w:r w:rsidR="007C7DAA">
        <w:t>.</w:t>
      </w:r>
      <w:r w:rsidR="003705F8">
        <w:t xml:space="preserve"> Clarification on relation</w:t>
      </w:r>
      <w:r w:rsidR="00644F1A">
        <w:t>ship</w:t>
      </w:r>
      <w:r w:rsidR="003705F8">
        <w:t xml:space="preserve"> with the initial signal is another aspect which may make the design complicated.</w:t>
      </w:r>
    </w:p>
    <w:p w14:paraId="486610D6" w14:textId="21328AF5" w:rsidR="003055EE" w:rsidRDefault="00382E38" w:rsidP="00086309">
      <w:r>
        <w:rPr>
          <w:rFonts w:hint="eastAsia"/>
        </w:rPr>
        <w:t>I</w:t>
      </w:r>
      <w:r>
        <w:t xml:space="preserve">n Option 2, </w:t>
      </w:r>
      <w:r w:rsidR="003055EE">
        <w:t xml:space="preserve">the Tx bandwidth information is carried by </w:t>
      </w:r>
      <w:r>
        <w:t xml:space="preserve">the PDCCH DMRS. </w:t>
      </w:r>
      <w:r w:rsidR="003055EE">
        <w:t xml:space="preserve">The indication can be based on multiple PDCCH DMRS sequences, one per each LBT </w:t>
      </w:r>
      <w:proofErr w:type="spellStart"/>
      <w:r w:rsidR="003055EE">
        <w:t>subband</w:t>
      </w:r>
      <w:proofErr w:type="spellEnd"/>
      <w:r w:rsidR="003055EE">
        <w:t xml:space="preserve"> (first case), or </w:t>
      </w:r>
      <w:r w:rsidR="00644F1A">
        <w:t xml:space="preserve">based on </w:t>
      </w:r>
      <w:r w:rsidR="003055EE">
        <w:t xml:space="preserve">only one PDCCH DMRS sequence in a certain LBT </w:t>
      </w:r>
      <w:proofErr w:type="spellStart"/>
      <w:r w:rsidR="003055EE">
        <w:t>subband</w:t>
      </w:r>
      <w:proofErr w:type="spellEnd"/>
      <w:r w:rsidR="003055EE">
        <w:t xml:space="preserve"> (second case). If it is the first case, the situation may be very similar to Option 3. While in the second case, the DMRS detection performance may be an issue. If a new DMRS design is to be introduced, simulation</w:t>
      </w:r>
      <w:r w:rsidR="003705F8">
        <w:t>s</w:t>
      </w:r>
      <w:r w:rsidR="003055EE">
        <w:t xml:space="preserve"> may be needed to </w:t>
      </w:r>
      <w:r w:rsidR="00267E32">
        <w:t>evaluate</w:t>
      </w:r>
      <w:r w:rsidR="008F4A66">
        <w:t xml:space="preserve"> the BD performance</w:t>
      </w:r>
      <w:r w:rsidR="003055EE">
        <w:t xml:space="preserve">, </w:t>
      </w:r>
      <w:r w:rsidR="00267E32">
        <w:t>besides</w:t>
      </w:r>
      <w:r w:rsidR="008F4A66">
        <w:t xml:space="preserve"> </w:t>
      </w:r>
      <w:r w:rsidR="00267E32">
        <w:t xml:space="preserve">it may bring </w:t>
      </w:r>
      <w:r w:rsidR="008F4A66">
        <w:t xml:space="preserve">a </w:t>
      </w:r>
      <w:r w:rsidR="003055EE">
        <w:t>large impact on specification and UE implementation.</w:t>
      </w:r>
    </w:p>
    <w:p w14:paraId="2130169C" w14:textId="5C199A8A" w:rsidR="00CE3288" w:rsidRDefault="00CE3288" w:rsidP="00086309">
      <w:r>
        <w:t>On the other hand</w:t>
      </w:r>
      <w:r w:rsidR="00F770A9">
        <w:t>, Option 1, the PDCCH-based indication</w:t>
      </w:r>
      <w:r>
        <w:t>,</w:t>
      </w:r>
      <w:r w:rsidR="00F770A9">
        <w:t xml:space="preserve"> already provides sufficiently high reliability</w:t>
      </w:r>
      <w:r w:rsidR="004A073B">
        <w:t>, e.g.,</w:t>
      </w:r>
      <w:r w:rsidR="00F770A9">
        <w:t xml:space="preserve"> </w:t>
      </w:r>
      <w:r>
        <w:t xml:space="preserve">up to target BLER of 1E-5 or 1E-6 </w:t>
      </w:r>
      <w:r w:rsidR="00F770A9">
        <w:t>by using larger ALs and wideband DMRS</w:t>
      </w:r>
      <w:r w:rsidR="004A073B">
        <w:t xml:space="preserve"> as needed. </w:t>
      </w:r>
      <w:r>
        <w:t xml:space="preserve">Also, </w:t>
      </w:r>
      <w:r w:rsidR="004A073B">
        <w:t xml:space="preserve">if the Tx bandwidth information is contained in or delivered together with the COT structure indicator which is </w:t>
      </w:r>
      <w:r w:rsidR="004A073B">
        <w:lastRenderedPageBreak/>
        <w:t>also delivered by PDCCH</w:t>
      </w:r>
      <w:r w:rsidR="002474BC">
        <w:t>, the specification impact would be minimal</w:t>
      </w:r>
      <w:r w:rsidR="004A073B">
        <w:t>.</w:t>
      </w:r>
      <w:r>
        <w:t xml:space="preserve"> </w:t>
      </w:r>
      <w:r w:rsidR="002474BC">
        <w:t>Basically, t</w:t>
      </w:r>
      <w:r>
        <w:t>he Tx bandwidth information should be common to all UEs receiving the DL burst, and</w:t>
      </w:r>
      <w:r w:rsidR="00E03396">
        <w:t xml:space="preserve"> the</w:t>
      </w:r>
      <w:r>
        <w:t xml:space="preserve"> benefit of UE-specific indication is not sufficiently identified yet. Therefore, </w:t>
      </w:r>
      <w:r w:rsidR="00E03396">
        <w:t xml:space="preserve">for the </w:t>
      </w:r>
      <w:proofErr w:type="spellStart"/>
      <w:r w:rsidR="00E03396">
        <w:t>gNB’s</w:t>
      </w:r>
      <w:proofErr w:type="spellEnd"/>
      <w:r w:rsidR="00E03396">
        <w:t xml:space="preserve"> Tx bandwidth indication, </w:t>
      </w:r>
      <w:r>
        <w:t xml:space="preserve">it is preferred to support Option 1 </w:t>
      </w:r>
      <w:r w:rsidR="002474BC">
        <w:t>based on</w:t>
      </w:r>
      <w:r>
        <w:t xml:space="preserve"> the GC-PDCCH.</w:t>
      </w:r>
    </w:p>
    <w:p w14:paraId="6AC459DA" w14:textId="076082C9" w:rsidR="004A073B" w:rsidRDefault="004A073B" w:rsidP="00086309">
      <w:r w:rsidRPr="004803D1">
        <w:rPr>
          <w:b/>
        </w:rPr>
        <w:t xml:space="preserve">Proposal </w:t>
      </w:r>
      <w:r w:rsidR="00191E5B">
        <w:rPr>
          <w:b/>
        </w:rPr>
        <w:t>1</w:t>
      </w:r>
      <w:r w:rsidRPr="004803D1">
        <w:t xml:space="preserve">: </w:t>
      </w:r>
      <w:r w:rsidR="00191E5B">
        <w:t xml:space="preserve">Information of </w:t>
      </w:r>
      <w:proofErr w:type="spellStart"/>
      <w:r w:rsidR="00191E5B">
        <w:t>gNB’s</w:t>
      </w:r>
      <w:proofErr w:type="spellEnd"/>
      <w:r w:rsidR="00191E5B">
        <w:t xml:space="preserve"> transmitting bandwidth </w:t>
      </w:r>
      <w:r w:rsidRPr="004803D1">
        <w:t>is delivered to UE based on GC-PDCCH [as a part of a COT structure indication].</w:t>
      </w:r>
    </w:p>
    <w:p w14:paraId="65AC1F62" w14:textId="095A2214" w:rsidR="00A767F6" w:rsidRDefault="00A767F6" w:rsidP="00086309"/>
    <w:p w14:paraId="0732CF29" w14:textId="4CBFC7B6" w:rsidR="00A767F6" w:rsidRDefault="006E68D2" w:rsidP="00086309">
      <w:pPr>
        <w:pStyle w:val="4"/>
      </w:pPr>
      <w:r>
        <w:t>CORESET configuration</w:t>
      </w:r>
    </w:p>
    <w:p w14:paraId="43421C28" w14:textId="0BB14AF4" w:rsidR="00A767F6" w:rsidRDefault="00A767F6" w:rsidP="00086309">
      <w:r>
        <w:rPr>
          <w:rFonts w:hint="eastAsia"/>
        </w:rPr>
        <w:t xml:space="preserve">Due to uncertainty of </w:t>
      </w:r>
      <w:r>
        <w:t>per-</w:t>
      </w:r>
      <w:proofErr w:type="spellStart"/>
      <w:r>
        <w:t>subband</w:t>
      </w:r>
      <w:proofErr w:type="spellEnd"/>
      <w:r>
        <w:t xml:space="preserve"> </w:t>
      </w:r>
      <w:r>
        <w:rPr>
          <w:rFonts w:hint="eastAsia"/>
        </w:rPr>
        <w:t xml:space="preserve">LBT outcome, it is beneficial in NR-U that each PDCCH candidate is configured within </w:t>
      </w:r>
      <w:proofErr w:type="gramStart"/>
      <w:r>
        <w:rPr>
          <w:rFonts w:hint="eastAsia"/>
        </w:rPr>
        <w:t>a</w:t>
      </w:r>
      <w:proofErr w:type="gramEnd"/>
      <w:r>
        <w:rPr>
          <w:rFonts w:hint="eastAsia"/>
        </w:rPr>
        <w:t xml:space="preserve"> LBT </w:t>
      </w:r>
      <w:proofErr w:type="spellStart"/>
      <w:r>
        <w:rPr>
          <w:rFonts w:hint="eastAsia"/>
        </w:rPr>
        <w:t>subband</w:t>
      </w:r>
      <w:proofErr w:type="spellEnd"/>
      <w:r>
        <w:rPr>
          <w:rFonts w:hint="eastAsia"/>
        </w:rPr>
        <w:t xml:space="preserve">. </w:t>
      </w:r>
      <w:r>
        <w:t xml:space="preserve">There are two approaches to </w:t>
      </w:r>
      <w:r w:rsidR="00337785">
        <w:t>guarantee</w:t>
      </w:r>
      <w:r>
        <w:t xml:space="preserve"> this:</w:t>
      </w:r>
    </w:p>
    <w:p w14:paraId="5A3EF037" w14:textId="77777777" w:rsidR="00A767F6" w:rsidRPr="003C52CA" w:rsidRDefault="00A767F6" w:rsidP="00086309">
      <w:pPr>
        <w:pStyle w:val="a4"/>
        <w:numPr>
          <w:ilvl w:val="0"/>
          <w:numId w:val="7"/>
        </w:numPr>
        <w:spacing w:after="60"/>
        <w:ind w:leftChars="0" w:left="714" w:hanging="357"/>
      </w:pPr>
      <w:r w:rsidRPr="003C52CA">
        <w:t xml:space="preserve">Alt. 1: CORESET configured to be confined within </w:t>
      </w:r>
      <w:proofErr w:type="gramStart"/>
      <w:r w:rsidRPr="003C52CA">
        <w:t>a</w:t>
      </w:r>
      <w:proofErr w:type="gramEnd"/>
      <w:r w:rsidRPr="003C52CA">
        <w:t xml:space="preserve"> LBT </w:t>
      </w:r>
      <w:proofErr w:type="spellStart"/>
      <w:r w:rsidRPr="003C52CA">
        <w:t>subband</w:t>
      </w:r>
      <w:proofErr w:type="spellEnd"/>
    </w:p>
    <w:p w14:paraId="3B9244F9" w14:textId="7A8633DE" w:rsidR="00A767F6" w:rsidRPr="003C52CA" w:rsidRDefault="00A767F6" w:rsidP="00086309">
      <w:pPr>
        <w:pStyle w:val="a4"/>
        <w:numPr>
          <w:ilvl w:val="0"/>
          <w:numId w:val="7"/>
        </w:numPr>
        <w:ind w:leftChars="0"/>
      </w:pPr>
      <w:r w:rsidRPr="003C52CA">
        <w:t xml:space="preserve">Alt. 2: PDCCH candidate configured to be </w:t>
      </w:r>
      <w:r w:rsidR="00F94174">
        <w:t>confined</w:t>
      </w:r>
      <w:r w:rsidRPr="003C52CA">
        <w:t xml:space="preserve"> within </w:t>
      </w:r>
      <w:proofErr w:type="gramStart"/>
      <w:r w:rsidRPr="003C52CA">
        <w:t>a</w:t>
      </w:r>
      <w:proofErr w:type="gramEnd"/>
      <w:r w:rsidRPr="003C52CA">
        <w:t xml:space="preserve"> LBT </w:t>
      </w:r>
      <w:proofErr w:type="spellStart"/>
      <w:r w:rsidRPr="003C52CA">
        <w:t>subband</w:t>
      </w:r>
      <w:proofErr w:type="spellEnd"/>
      <w:r w:rsidR="002510FA">
        <w:t xml:space="preserve"> while the CORESET can be configured across LBT </w:t>
      </w:r>
      <w:proofErr w:type="spellStart"/>
      <w:r w:rsidR="002510FA">
        <w:t>subbands</w:t>
      </w:r>
      <w:proofErr w:type="spellEnd"/>
    </w:p>
    <w:p w14:paraId="756CD9DF" w14:textId="44365121" w:rsidR="00A767F6" w:rsidRDefault="00A767F6" w:rsidP="00086309">
      <w:r>
        <w:rPr>
          <w:rFonts w:hint="eastAsia"/>
        </w:rPr>
        <w:t xml:space="preserve">In our </w:t>
      </w:r>
      <w:r w:rsidR="00337785">
        <w:t>understanding</w:t>
      </w:r>
      <w:r>
        <w:rPr>
          <w:rFonts w:hint="eastAsia"/>
        </w:rPr>
        <w:t xml:space="preserve">, </w:t>
      </w:r>
      <w:r>
        <w:t>wh</w:t>
      </w:r>
      <w:r w:rsidR="00337785">
        <w:t>ile</w:t>
      </w:r>
      <w:r>
        <w:rPr>
          <w:rFonts w:hint="eastAsia"/>
        </w:rPr>
        <w:t xml:space="preserve"> </w:t>
      </w:r>
      <w:r>
        <w:t xml:space="preserve">the </w:t>
      </w:r>
      <w:r>
        <w:rPr>
          <w:rFonts w:hint="eastAsia"/>
        </w:rPr>
        <w:t xml:space="preserve">two alternatives achieve the same goal, additional benefit from Alt. </w:t>
      </w:r>
      <w:r>
        <w:t xml:space="preserve">2 is not clear. Alt. 1 is much simpler because it only needs to increase the maximum number of CORESETs per </w:t>
      </w:r>
      <w:r w:rsidR="00337785">
        <w:t>bandwidth part</w:t>
      </w:r>
      <w:r>
        <w:t xml:space="preserve">. </w:t>
      </w:r>
      <w:r w:rsidR="00337785">
        <w:t xml:space="preserve">If there is a concern </w:t>
      </w:r>
      <w:r w:rsidR="00E03396">
        <w:t>on</w:t>
      </w:r>
      <w:r w:rsidR="00337785">
        <w:t xml:space="preserve"> UE </w:t>
      </w:r>
      <w:r w:rsidR="00E03396">
        <w:t>implementation</w:t>
      </w:r>
      <w:r w:rsidR="00337785">
        <w:t xml:space="preserve"> </w:t>
      </w:r>
      <w:r w:rsidR="00E03396">
        <w:t xml:space="preserve">burden (i.e., UE capability) </w:t>
      </w:r>
      <w:r w:rsidR="00337785">
        <w:t xml:space="preserve">due to increased number of CORESETs, it can be considered to put some constraint on the CORESET configuration. For </w:t>
      </w:r>
      <w:r w:rsidR="00E03396">
        <w:t>example</w:t>
      </w:r>
      <w:r w:rsidR="00337785">
        <w:t xml:space="preserve">, some </w:t>
      </w:r>
      <w:r w:rsidR="00E03396">
        <w:t xml:space="preserve">CORESET </w:t>
      </w:r>
      <w:r w:rsidR="00337785">
        <w:t xml:space="preserve">parameters, such as DMRS initialization, duration, CCE-REG mapping, TCI parameters, and precoder granularity, </w:t>
      </w:r>
      <w:r w:rsidR="00E03396">
        <w:t xml:space="preserve">may not need to be different across CORESETs configured for different LBT </w:t>
      </w:r>
      <w:proofErr w:type="spellStart"/>
      <w:r w:rsidR="00E03396">
        <w:t>subbands</w:t>
      </w:r>
      <w:proofErr w:type="spellEnd"/>
      <w:r w:rsidR="00E03396">
        <w:t>. Hence, they can be shared by the multiple CORESETs, e.g.,</w:t>
      </w:r>
      <w:r w:rsidR="00337785">
        <w:t xml:space="preserve"> a joint configuration of multiple CORESETs or a set of CORESETs can be considered. </w:t>
      </w:r>
      <w:r>
        <w:t xml:space="preserve">This </w:t>
      </w:r>
      <w:r w:rsidR="00454763">
        <w:t xml:space="preserve">approach </w:t>
      </w:r>
      <w:r>
        <w:t>may also reduce the RRC overhead. Such restriction eventually makes Alt. 1 similar to Alt. 2, but a key difference is that Alt. 1 can totally reuse the PDCCH mapping rule of Rel-15 NR.</w:t>
      </w:r>
    </w:p>
    <w:p w14:paraId="71438E19" w14:textId="695DFCB8" w:rsidR="006E68D2" w:rsidRDefault="006E68D2" w:rsidP="00086309">
      <w:r w:rsidRPr="003078C1">
        <w:rPr>
          <w:rFonts w:hint="eastAsia"/>
          <w:b/>
        </w:rPr>
        <w:t>P</w:t>
      </w:r>
      <w:r w:rsidRPr="003078C1">
        <w:rPr>
          <w:b/>
        </w:rPr>
        <w:t xml:space="preserve">roposal </w:t>
      </w:r>
      <w:r w:rsidR="003078C1">
        <w:rPr>
          <w:b/>
        </w:rPr>
        <w:t>2</w:t>
      </w:r>
      <w:r>
        <w:t xml:space="preserve">: Support X&gt;3 number of CORESETs </w:t>
      </w:r>
      <w:r w:rsidR="00454763">
        <w:t>in</w:t>
      </w:r>
      <w:r>
        <w:t xml:space="preserve"> </w:t>
      </w:r>
      <w:r w:rsidR="00454763">
        <w:t>one</w:t>
      </w:r>
      <w:r>
        <w:t xml:space="preserve"> bandwidth part</w:t>
      </w:r>
      <w:r w:rsidR="003078C1">
        <w:t xml:space="preserve"> in NR-U, where each CORESET is configured to be confined within </w:t>
      </w:r>
      <w:proofErr w:type="gramStart"/>
      <w:r w:rsidR="003078C1">
        <w:t>a</w:t>
      </w:r>
      <w:proofErr w:type="gramEnd"/>
      <w:r w:rsidR="003078C1">
        <w:t xml:space="preserve"> LBT </w:t>
      </w:r>
      <w:proofErr w:type="spellStart"/>
      <w:r w:rsidR="003078C1">
        <w:t>subband</w:t>
      </w:r>
      <w:proofErr w:type="spellEnd"/>
      <w:r>
        <w:t>.</w:t>
      </w:r>
    </w:p>
    <w:p w14:paraId="61DA1A60" w14:textId="7BB93427" w:rsidR="00A767F6" w:rsidRPr="00A767F6" w:rsidRDefault="006E68D2" w:rsidP="00086309">
      <w:r w:rsidRPr="003078C1">
        <w:rPr>
          <w:b/>
        </w:rPr>
        <w:t xml:space="preserve">Proposal </w:t>
      </w:r>
      <w:r w:rsidR="003078C1">
        <w:rPr>
          <w:b/>
        </w:rPr>
        <w:t>3</w:t>
      </w:r>
      <w:r>
        <w:t xml:space="preserve">: </w:t>
      </w:r>
      <w:r w:rsidR="003078C1">
        <w:t>Consider</w:t>
      </w:r>
      <w:r>
        <w:t xml:space="preserve"> a joint configuration </w:t>
      </w:r>
      <w:r w:rsidR="00454763">
        <w:t>of multiple</w:t>
      </w:r>
      <w:r>
        <w:t xml:space="preserve"> CORESETs </w:t>
      </w:r>
      <w:r w:rsidR="00454763">
        <w:t>for</w:t>
      </w:r>
      <w:r>
        <w:t xml:space="preserve"> different LBT </w:t>
      </w:r>
      <w:proofErr w:type="spellStart"/>
      <w:r>
        <w:t>subbands</w:t>
      </w:r>
      <w:proofErr w:type="spellEnd"/>
      <w:r w:rsidR="00454763">
        <w:t xml:space="preserve"> with some shared parameters</w:t>
      </w:r>
      <w:r w:rsidR="003078C1">
        <w:t>.</w:t>
      </w:r>
    </w:p>
    <w:p w14:paraId="2494C0A4" w14:textId="77777777" w:rsidR="002C45E7" w:rsidRDefault="002C45E7" w:rsidP="00086309"/>
    <w:p w14:paraId="6F28BEEA" w14:textId="283651F6" w:rsidR="007E1A54" w:rsidRPr="004A5A42" w:rsidRDefault="007E1A54" w:rsidP="00086309">
      <w:pPr>
        <w:pStyle w:val="4"/>
      </w:pPr>
      <w:r>
        <w:t xml:space="preserve">Bandwidth part </w:t>
      </w:r>
      <w:r w:rsidR="002C45E7">
        <w:t xml:space="preserve">and guard band </w:t>
      </w:r>
      <w:r>
        <w:t>configuration</w:t>
      </w:r>
    </w:p>
    <w:p w14:paraId="5A5B35D8" w14:textId="1C4D3145" w:rsidR="00A664C7" w:rsidRPr="00222B14" w:rsidRDefault="00C8755C" w:rsidP="00086309">
      <w:r w:rsidRPr="00222B14">
        <w:t>In the</w:t>
      </w:r>
      <w:r w:rsidR="009F6C59" w:rsidRPr="00222B14">
        <w:t xml:space="preserve"> wideband operation</w:t>
      </w:r>
      <w:r w:rsidR="000B4402" w:rsidRPr="00222B14">
        <w:t xml:space="preserve">, </w:t>
      </w:r>
      <w:r w:rsidRPr="00222B14">
        <w:t xml:space="preserve">the </w:t>
      </w:r>
      <w:r w:rsidR="000B4402" w:rsidRPr="00222B14">
        <w:t xml:space="preserve">guard band </w:t>
      </w:r>
      <w:r w:rsidRPr="00222B14">
        <w:t>is</w:t>
      </w:r>
      <w:r w:rsidR="000B4402" w:rsidRPr="00222B14">
        <w:t xml:space="preserve"> required between two adjacent LBT </w:t>
      </w:r>
      <w:proofErr w:type="spellStart"/>
      <w:r w:rsidR="000B4402" w:rsidRPr="00222B14">
        <w:t>subbands</w:t>
      </w:r>
      <w:proofErr w:type="spellEnd"/>
      <w:r w:rsidR="000B4402" w:rsidRPr="00222B14">
        <w:t xml:space="preserve"> </w:t>
      </w:r>
      <w:r w:rsidR="009F6C59" w:rsidRPr="00222B14">
        <w:t xml:space="preserve">in a carrier </w:t>
      </w:r>
      <w:r w:rsidR="000B4402" w:rsidRPr="00222B14">
        <w:t xml:space="preserve">to protect </w:t>
      </w:r>
      <w:r w:rsidRPr="00222B14">
        <w:t xml:space="preserve">the LBT operation </w:t>
      </w:r>
      <w:r w:rsidR="00E03396">
        <w:t xml:space="preserve">and </w:t>
      </w:r>
      <w:r w:rsidR="000B4402" w:rsidRPr="00222B14">
        <w:t xml:space="preserve">the </w:t>
      </w:r>
      <w:r w:rsidR="00E03396">
        <w:t>receiver performance</w:t>
      </w:r>
      <w:r w:rsidR="000B4402" w:rsidRPr="00222B14">
        <w:t xml:space="preserve"> from </w:t>
      </w:r>
      <w:r w:rsidR="0075675C" w:rsidRPr="00222B14">
        <w:t xml:space="preserve">potential </w:t>
      </w:r>
      <w:r w:rsidR="000B4402" w:rsidRPr="00222B14">
        <w:t>in-carrier leakage</w:t>
      </w:r>
      <w:r w:rsidRPr="00222B14">
        <w:t xml:space="preserve"> [2]</w:t>
      </w:r>
      <w:r w:rsidR="000B4402" w:rsidRPr="00222B14">
        <w:t>.</w:t>
      </w:r>
      <w:r w:rsidR="0075675C" w:rsidRPr="00222B14">
        <w:t xml:space="preserve"> </w:t>
      </w:r>
      <w:r w:rsidR="004377A4" w:rsidRPr="00222B14">
        <w:t xml:space="preserve">For this purpose, </w:t>
      </w:r>
      <w:r w:rsidR="0075675C" w:rsidRPr="00222B14">
        <w:t xml:space="preserve">RAN4 may define guard band requirements, </w:t>
      </w:r>
      <w:r w:rsidR="004377A4" w:rsidRPr="00222B14">
        <w:t xml:space="preserve">e.g., minimum bandwidth, </w:t>
      </w:r>
      <w:r w:rsidRPr="00222B14">
        <w:t xml:space="preserve">absolute </w:t>
      </w:r>
      <w:r w:rsidR="004377A4" w:rsidRPr="00222B14">
        <w:t>location, etc. However,</w:t>
      </w:r>
      <w:r w:rsidR="0075675C" w:rsidRPr="00222B14">
        <w:t xml:space="preserve"> </w:t>
      </w:r>
      <w:r w:rsidR="009F6C59" w:rsidRPr="00222B14">
        <w:t xml:space="preserve">such </w:t>
      </w:r>
      <w:r w:rsidR="00E03396">
        <w:t>work</w:t>
      </w:r>
      <w:r w:rsidR="0075675C" w:rsidRPr="00222B14">
        <w:t xml:space="preserve"> may not be </w:t>
      </w:r>
      <w:r w:rsidR="009F6C59" w:rsidRPr="00222B14">
        <w:t xml:space="preserve">aligned with </w:t>
      </w:r>
      <w:r w:rsidRPr="00222B14">
        <w:t xml:space="preserve">the resource grid </w:t>
      </w:r>
      <w:r w:rsidR="001B089D">
        <w:t>definition</w:t>
      </w:r>
      <w:r w:rsidRPr="00222B14">
        <w:t xml:space="preserve">, e.g., </w:t>
      </w:r>
      <w:r w:rsidR="001B089D">
        <w:t>a</w:t>
      </w:r>
      <w:r w:rsidRPr="00222B14">
        <w:t xml:space="preserve"> </w:t>
      </w:r>
      <w:r w:rsidR="009F6C59" w:rsidRPr="00222B14">
        <w:t xml:space="preserve">common RB grid. From RAN1 perspective, it is </w:t>
      </w:r>
      <w:r w:rsidRPr="00222B14">
        <w:t>desirable</w:t>
      </w:r>
      <w:r w:rsidR="009F6C59" w:rsidRPr="00222B14">
        <w:t xml:space="preserve"> that the guard band</w:t>
      </w:r>
      <w:r w:rsidRPr="00222B14">
        <w:t>s</w:t>
      </w:r>
      <w:r w:rsidR="009F6C59" w:rsidRPr="00222B14">
        <w:t xml:space="preserve"> </w:t>
      </w:r>
      <w:r w:rsidRPr="00222B14">
        <w:t>are</w:t>
      </w:r>
      <w:r w:rsidR="009F6C59" w:rsidRPr="00222B14">
        <w:t xml:space="preserve"> </w:t>
      </w:r>
      <w:r w:rsidRPr="00222B14">
        <w:t>defined</w:t>
      </w:r>
      <w:r w:rsidR="009F6C59" w:rsidRPr="00222B14">
        <w:t xml:space="preserve"> on a bandwidth part in unit of a PRB</w:t>
      </w:r>
      <w:r w:rsidR="00DA1CBE" w:rsidRPr="00222B14">
        <w:t xml:space="preserve"> (Fig. 1)</w:t>
      </w:r>
      <w:r w:rsidR="009F6C59" w:rsidRPr="00222B14">
        <w:t xml:space="preserve">. </w:t>
      </w:r>
      <w:r w:rsidR="003A6DAC" w:rsidRPr="00222B14">
        <w:t>UE can be informed of t</w:t>
      </w:r>
      <w:r w:rsidRPr="00222B14">
        <w:t xml:space="preserve">he </w:t>
      </w:r>
      <w:r w:rsidR="003A6DAC" w:rsidRPr="00222B14">
        <w:t>size</w:t>
      </w:r>
      <w:r w:rsidRPr="00222B14">
        <w:t xml:space="preserve"> and </w:t>
      </w:r>
      <w:r w:rsidR="003A6DAC" w:rsidRPr="00222B14">
        <w:t xml:space="preserve">the </w:t>
      </w:r>
      <w:r w:rsidRPr="00222B14">
        <w:t>location of the guard bands</w:t>
      </w:r>
      <w:r w:rsidR="003A6DAC" w:rsidRPr="00222B14">
        <w:t xml:space="preserve">, </w:t>
      </w:r>
      <w:r w:rsidR="00267E32">
        <w:t>for example</w:t>
      </w:r>
      <w:r w:rsidR="003A6DAC" w:rsidRPr="00222B14">
        <w:t xml:space="preserve">, by RRC signalling. </w:t>
      </w:r>
      <w:r w:rsidR="001B089D">
        <w:t>One possibility is to define</w:t>
      </w:r>
      <w:r w:rsidR="003A6DAC" w:rsidRPr="00222B14">
        <w:t xml:space="preserve"> </w:t>
      </w:r>
      <w:r w:rsidR="00A664C7" w:rsidRPr="00222B14">
        <w:t>a guard band between two adjacent 20 MHz channels</w:t>
      </w:r>
      <w:r w:rsidR="001B089D">
        <w:t xml:space="preserve"> in the RAN4 specification</w:t>
      </w:r>
      <w:r w:rsidR="00A664C7" w:rsidRPr="00222B14">
        <w:t xml:space="preserve">, and </w:t>
      </w:r>
      <w:r w:rsidR="00267E32">
        <w:t xml:space="preserve">then </w:t>
      </w:r>
      <w:proofErr w:type="spellStart"/>
      <w:r w:rsidR="00A664C7" w:rsidRPr="00222B14">
        <w:t>gNB</w:t>
      </w:r>
      <w:proofErr w:type="spellEnd"/>
      <w:r w:rsidR="00A664C7" w:rsidRPr="00222B14">
        <w:t xml:space="preserve"> </w:t>
      </w:r>
      <w:r w:rsidR="001B089D">
        <w:t>can</w:t>
      </w:r>
      <w:r w:rsidR="00A664C7" w:rsidRPr="00222B14">
        <w:t xml:space="preserve"> configure the guard PRB(s) in a bandwidth part </w:t>
      </w:r>
      <w:r w:rsidR="00267E32">
        <w:t xml:space="preserve">so as </w:t>
      </w:r>
      <w:r w:rsidR="00A664C7" w:rsidRPr="00222B14">
        <w:t xml:space="preserve">to </w:t>
      </w:r>
      <w:r w:rsidR="001B089D">
        <w:t xml:space="preserve">meet the requirement, i.e., to </w:t>
      </w:r>
      <w:r w:rsidR="00A664C7" w:rsidRPr="00222B14">
        <w:t>cover the guard band.</w:t>
      </w:r>
    </w:p>
    <w:p w14:paraId="4BC344F5" w14:textId="7534A461" w:rsidR="008B3EC8" w:rsidRDefault="008B3EC8" w:rsidP="00086309">
      <w:r w:rsidRPr="00222B14">
        <w:rPr>
          <w:rFonts w:hint="eastAsia"/>
          <w:b/>
        </w:rPr>
        <w:t>P</w:t>
      </w:r>
      <w:r w:rsidRPr="00222B14">
        <w:rPr>
          <w:b/>
        </w:rPr>
        <w:t>roposal 4</w:t>
      </w:r>
      <w:r w:rsidRPr="00222B14">
        <w:t xml:space="preserve">: </w:t>
      </w:r>
      <w:r w:rsidR="001B089D">
        <w:t xml:space="preserve">The </w:t>
      </w:r>
      <w:r w:rsidR="00A664C7" w:rsidRPr="00222B14">
        <w:t xml:space="preserve">size and </w:t>
      </w:r>
      <w:r w:rsidR="001B089D">
        <w:t xml:space="preserve">the </w:t>
      </w:r>
      <w:r w:rsidR="00A664C7" w:rsidRPr="00222B14">
        <w:t xml:space="preserve">location of guard band(s) </w:t>
      </w:r>
      <w:r w:rsidR="001B089D">
        <w:t xml:space="preserve">between the LBT </w:t>
      </w:r>
      <w:proofErr w:type="spellStart"/>
      <w:r w:rsidR="001B089D">
        <w:t>subbands</w:t>
      </w:r>
      <w:proofErr w:type="spellEnd"/>
      <w:r w:rsidR="001B089D">
        <w:t xml:space="preserve"> can be configured to UE </w:t>
      </w:r>
      <w:r w:rsidR="00A664C7" w:rsidRPr="00222B14">
        <w:t>in unit of a PRB</w:t>
      </w:r>
      <w:r w:rsidR="001B089D" w:rsidRPr="001B089D">
        <w:t xml:space="preserve"> </w:t>
      </w:r>
      <w:r w:rsidR="001B089D">
        <w:t>as a part of the bandwidth part configuration</w:t>
      </w:r>
      <w:r w:rsidRPr="00222B14">
        <w:t>.</w:t>
      </w:r>
    </w:p>
    <w:p w14:paraId="295E0549" w14:textId="77777777" w:rsidR="00222B14" w:rsidRPr="00222B14" w:rsidRDefault="00222B14" w:rsidP="00086309"/>
    <w:p w14:paraId="4CA8A11A" w14:textId="69927B9E" w:rsidR="000B4402" w:rsidRDefault="00086309" w:rsidP="00086309">
      <w:pPr>
        <w:jc w:val="center"/>
        <w:rPr>
          <w:rFonts w:ascii="Times New Roman" w:hAnsi="Times New Roman" w:cs="Times New Roman"/>
        </w:rPr>
      </w:pPr>
      <w:r>
        <w:object w:dxaOrig="8175" w:dyaOrig="1710" w14:anchorId="49545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67.5pt" o:ole="">
            <v:imagedata r:id="rId8" o:title=""/>
          </v:shape>
          <o:OLEObject Type="Embed" ProgID="Visio.Drawing.15" ShapeID="_x0000_i1025" DrawAspect="Content" ObjectID="_1618350898" r:id="rId9"/>
        </w:object>
      </w:r>
    </w:p>
    <w:p w14:paraId="6645D377" w14:textId="6A885513" w:rsidR="000B4402" w:rsidRDefault="009F6C59" w:rsidP="00086309">
      <w:pPr>
        <w:jc w:val="center"/>
      </w:pPr>
      <w:r w:rsidRPr="009F6C59">
        <w:rPr>
          <w:rFonts w:hint="eastAsia"/>
        </w:rPr>
        <w:t>F</w:t>
      </w:r>
      <w:r w:rsidRPr="009F6C59">
        <w:t xml:space="preserve">ig. 1. </w:t>
      </w:r>
      <w:r w:rsidR="00F5263D">
        <w:t>An example of b</w:t>
      </w:r>
      <w:r>
        <w:t xml:space="preserve">andwidth part configuration </w:t>
      </w:r>
      <w:r w:rsidR="00F5263D">
        <w:t>for NR-U (</w:t>
      </w:r>
      <w:r w:rsidR="00267E32">
        <w:t xml:space="preserve">with </w:t>
      </w:r>
      <w:r w:rsidR="00A664C7">
        <w:t xml:space="preserve">4 LBT </w:t>
      </w:r>
      <w:proofErr w:type="spellStart"/>
      <w:r w:rsidR="00A664C7">
        <w:t>subbands</w:t>
      </w:r>
      <w:proofErr w:type="spellEnd"/>
      <w:r w:rsidR="00F5263D">
        <w:t>)</w:t>
      </w:r>
    </w:p>
    <w:p w14:paraId="0B7959BA" w14:textId="77777777" w:rsidR="008B3EC8" w:rsidRPr="00F5263D" w:rsidRDefault="008B3EC8" w:rsidP="00086309"/>
    <w:p w14:paraId="711CF0D3" w14:textId="551C407F" w:rsidR="004A5A42" w:rsidRPr="004A5A42" w:rsidRDefault="00187EC9" w:rsidP="00086309">
      <w:pPr>
        <w:pStyle w:val="4"/>
      </w:pPr>
      <w:r>
        <w:t>T</w:t>
      </w:r>
      <w:r>
        <w:rPr>
          <w:rFonts w:hint="eastAsia"/>
        </w:rPr>
        <w:t>ransmission</w:t>
      </w:r>
      <w:r w:rsidR="002410DC">
        <w:t xml:space="preserve"> bandwidth adaptation </w:t>
      </w:r>
      <w:r w:rsidR="00DF3770">
        <w:t>within a</w:t>
      </w:r>
      <w:r w:rsidR="004E1DF4">
        <w:t xml:space="preserve"> COT</w:t>
      </w:r>
    </w:p>
    <w:p w14:paraId="0A4D9D2E" w14:textId="11CBF0DD" w:rsidR="001371B9" w:rsidRDefault="00222B14" w:rsidP="00086309">
      <w:r>
        <w:t xml:space="preserve">In a </w:t>
      </w:r>
      <w:proofErr w:type="spellStart"/>
      <w:r>
        <w:t>gNB</w:t>
      </w:r>
      <w:proofErr w:type="spellEnd"/>
      <w:r>
        <w:t>-initiated COT, o</w:t>
      </w:r>
      <w:r w:rsidR="00892CA4">
        <w:t xml:space="preserve">nce the </w:t>
      </w:r>
      <w:r w:rsidR="002410DC">
        <w:t>Tx</w:t>
      </w:r>
      <w:r w:rsidR="00892CA4">
        <w:t xml:space="preserve"> bandwidth is determined in the beginning of </w:t>
      </w:r>
      <w:r>
        <w:t>a</w:t>
      </w:r>
      <w:r w:rsidR="00892CA4">
        <w:t xml:space="preserve"> DL burst, then it cannot be changed </w:t>
      </w:r>
      <w:r w:rsidR="00D530A3">
        <w:t xml:space="preserve">(at least cannot be increased) </w:t>
      </w:r>
      <w:r w:rsidR="00892CA4">
        <w:t>during the</w:t>
      </w:r>
      <w:r w:rsidR="001371B9">
        <w:t xml:space="preserve"> whole</w:t>
      </w:r>
      <w:r w:rsidR="00892CA4">
        <w:t xml:space="preserve"> DL burst duration</w:t>
      </w:r>
      <w:r>
        <w:t xml:space="preserve"> unless multiple RF chains are used</w:t>
      </w:r>
      <w:r w:rsidR="00892CA4">
        <w:t xml:space="preserve">. On the other hand, in the study item phase, it was agreed that NR-U supports single and multiple DL-to-UL and UL-to-DL switching points within a shared </w:t>
      </w:r>
      <w:proofErr w:type="spellStart"/>
      <w:r w:rsidR="00892CA4">
        <w:t>gNB</w:t>
      </w:r>
      <w:proofErr w:type="spellEnd"/>
      <w:r w:rsidR="00892CA4">
        <w:t xml:space="preserve"> COT. This feature </w:t>
      </w:r>
      <w:r>
        <w:t>should</w:t>
      </w:r>
      <w:r w:rsidR="00892CA4">
        <w:t xml:space="preserve"> be generally supported irrespective of the </w:t>
      </w:r>
      <w:r>
        <w:t>bandwidth part</w:t>
      </w:r>
      <w:r w:rsidR="00892CA4">
        <w:t xml:space="preserve"> size. </w:t>
      </w:r>
      <w:r w:rsidR="002410DC">
        <w:t>When</w:t>
      </w:r>
      <w:r w:rsidR="00892CA4">
        <w:t xml:space="preserve"> </w:t>
      </w:r>
      <w:proofErr w:type="spellStart"/>
      <w:r w:rsidR="00892CA4">
        <w:t>gNB</w:t>
      </w:r>
      <w:proofErr w:type="spellEnd"/>
      <w:r w:rsidR="00892CA4">
        <w:t xml:space="preserve"> allocates a UL durati</w:t>
      </w:r>
      <w:r w:rsidR="002410DC">
        <w:t>on in the middle of a COT, the</w:t>
      </w:r>
      <w:r w:rsidR="00892CA4">
        <w:t xml:space="preserve"> </w:t>
      </w:r>
      <w:proofErr w:type="spellStart"/>
      <w:r w:rsidR="00892CA4">
        <w:t>gNB</w:t>
      </w:r>
      <w:proofErr w:type="spellEnd"/>
      <w:r w:rsidR="00892CA4">
        <w:t xml:space="preserve"> can perform LBT as well as </w:t>
      </w:r>
      <w:r>
        <w:t>UL signal reception</w:t>
      </w:r>
      <w:r w:rsidR="002410DC">
        <w:t xml:space="preserve"> in the UL duration</w:t>
      </w:r>
      <w:r w:rsidR="00892CA4">
        <w:t xml:space="preserve">. </w:t>
      </w:r>
      <w:r w:rsidR="002410DC">
        <w:t xml:space="preserve">Therefore, </w:t>
      </w:r>
      <w:r w:rsidR="00E54E16">
        <w:t xml:space="preserve">when the </w:t>
      </w:r>
      <w:r>
        <w:t>bandwidth part</w:t>
      </w:r>
      <w:r w:rsidR="00E54E16">
        <w:t xml:space="preserve"> consists of multiple LBT </w:t>
      </w:r>
      <w:proofErr w:type="spellStart"/>
      <w:r w:rsidR="00E54E16">
        <w:t>subbands</w:t>
      </w:r>
      <w:proofErr w:type="spellEnd"/>
      <w:r w:rsidR="00E54E16">
        <w:t xml:space="preserve">, </w:t>
      </w:r>
      <w:r w:rsidR="001371B9">
        <w:t xml:space="preserve">depending on the LBT outcome, </w:t>
      </w:r>
      <w:r>
        <w:t xml:space="preserve">the </w:t>
      </w:r>
      <w:r w:rsidR="002410DC">
        <w:t xml:space="preserve">Tx bandwidth </w:t>
      </w:r>
      <w:r w:rsidR="001371B9">
        <w:t xml:space="preserve">can be adjusted in </w:t>
      </w:r>
      <w:r w:rsidR="002410DC">
        <w:t xml:space="preserve">the </w:t>
      </w:r>
      <w:r w:rsidR="00E54E16">
        <w:t>next</w:t>
      </w:r>
      <w:r w:rsidR="002410DC">
        <w:t xml:space="preserve"> DL burst</w:t>
      </w:r>
      <w:r w:rsidR="001371B9">
        <w:t xml:space="preserve"> transmission</w:t>
      </w:r>
      <w:r w:rsidR="002410DC">
        <w:t xml:space="preserve">. </w:t>
      </w:r>
      <w:r w:rsidR="001371B9">
        <w:t xml:space="preserve">If the LBT passes in additional </w:t>
      </w:r>
      <w:proofErr w:type="spellStart"/>
      <w:r w:rsidR="001371B9">
        <w:t>subband</w:t>
      </w:r>
      <w:proofErr w:type="spellEnd"/>
      <w:r w:rsidR="001371B9">
        <w:t xml:space="preserve">(s), </w:t>
      </w:r>
      <w:r w:rsidR="00E54E16">
        <w:t xml:space="preserve">the Tx bandwidth </w:t>
      </w:r>
      <w:r w:rsidR="00D530A3">
        <w:t>can</w:t>
      </w:r>
      <w:r w:rsidR="00E54E16">
        <w:t xml:space="preserve"> be expanded </w:t>
      </w:r>
      <w:r w:rsidR="001371B9">
        <w:t xml:space="preserve">in the middle of a COT as shown in Fig. </w:t>
      </w:r>
      <w:r w:rsidR="00F93644">
        <w:t>2</w:t>
      </w:r>
      <w:r w:rsidR="001371B9">
        <w:t>(a)</w:t>
      </w:r>
      <w:r w:rsidR="00E54E16">
        <w:t>, and may be reduced in the opposite case</w:t>
      </w:r>
      <w:r w:rsidR="001371B9">
        <w:t xml:space="preserve"> as shown in Fig. </w:t>
      </w:r>
      <w:r w:rsidR="00F93644">
        <w:t>2</w:t>
      </w:r>
      <w:r w:rsidR="001371B9">
        <w:t xml:space="preserve">(b). </w:t>
      </w:r>
      <w:r w:rsidR="00D530A3">
        <w:t>T</w:t>
      </w:r>
      <w:r w:rsidR="001371B9">
        <w:t xml:space="preserve">o improve the </w:t>
      </w:r>
      <w:r w:rsidR="00E54E16">
        <w:t>N</w:t>
      </w:r>
      <w:r w:rsidR="00D530A3">
        <w:t>R-U network and UPT performance, this functionality is considered to be essential for NR-U wideband operation.</w:t>
      </w:r>
    </w:p>
    <w:p w14:paraId="634A5833" w14:textId="475CE1EC" w:rsidR="005634DC" w:rsidRDefault="001371B9" w:rsidP="00086309">
      <w:r>
        <w:rPr>
          <w:b/>
        </w:rPr>
        <w:t>Proposal</w:t>
      </w:r>
      <w:r w:rsidR="005634DC" w:rsidRPr="005634DC">
        <w:rPr>
          <w:b/>
        </w:rPr>
        <w:t xml:space="preserve"> </w:t>
      </w:r>
      <w:r w:rsidR="00F93644">
        <w:rPr>
          <w:b/>
        </w:rPr>
        <w:t>5</w:t>
      </w:r>
      <w:r w:rsidR="005634DC">
        <w:t xml:space="preserve">: Tx bandwidth adaptation in the middle of a COT </w:t>
      </w:r>
      <w:r>
        <w:t>is</w:t>
      </w:r>
      <w:r w:rsidR="005634DC">
        <w:t xml:space="preserve"> discussed</w:t>
      </w:r>
      <w:r w:rsidR="00CF5075">
        <w:t xml:space="preserve"> as a part of NR-U wideband operation</w:t>
      </w:r>
      <w:r w:rsidR="005634DC">
        <w:t>.</w:t>
      </w:r>
      <w:bookmarkStart w:id="2" w:name="_GoBack"/>
      <w:bookmarkEnd w:id="2"/>
    </w:p>
    <w:p w14:paraId="6F0C464D" w14:textId="77777777" w:rsidR="00CF5075" w:rsidRPr="00CF5075" w:rsidRDefault="00CF5075" w:rsidP="00086309"/>
    <w:p w14:paraId="3C6B65AA" w14:textId="2DEDE6BE" w:rsidR="00C900DE" w:rsidRPr="00B51CA4" w:rsidRDefault="003C52CA" w:rsidP="00086309">
      <w:pPr>
        <w:jc w:val="center"/>
        <w:rPr>
          <w:rFonts w:ascii="Times New Roman" w:hAnsi="Times New Roman" w:cs="Times New Roman"/>
        </w:rPr>
      </w:pPr>
      <w:r>
        <w:object w:dxaOrig="13366" w:dyaOrig="2761" w14:anchorId="2F2E8D48">
          <v:shape id="_x0000_i1026" type="#_x0000_t75" style="width:464.25pt;height:96pt" o:ole="">
            <v:imagedata r:id="rId10" o:title=""/>
          </v:shape>
          <o:OLEObject Type="Embed" ProgID="Visio.Drawing.15" ShapeID="_x0000_i1026" DrawAspect="Content" ObjectID="_1618350899" r:id="rId11"/>
        </w:object>
      </w:r>
    </w:p>
    <w:p w14:paraId="55062BB7" w14:textId="5A05286D" w:rsidR="00953BA9" w:rsidRPr="005634DC" w:rsidRDefault="00B51CA4" w:rsidP="00086309">
      <w:pPr>
        <w:jc w:val="center"/>
      </w:pPr>
      <w:r w:rsidRPr="005634DC">
        <w:rPr>
          <w:rFonts w:hint="eastAsia"/>
        </w:rPr>
        <w:t>Fig.</w:t>
      </w:r>
      <w:r w:rsidR="00F93644">
        <w:t xml:space="preserve"> 2</w:t>
      </w:r>
      <w:r w:rsidRPr="005634DC">
        <w:rPr>
          <w:rFonts w:hint="eastAsia"/>
        </w:rPr>
        <w:t>.</w:t>
      </w:r>
      <w:r w:rsidR="005634DC" w:rsidRPr="005634DC">
        <w:t xml:space="preserve"> Tx bandwidth adaptation in the middle of a COT: (a) bandwidth expansion, (b) bandwidth reduction</w:t>
      </w:r>
    </w:p>
    <w:p w14:paraId="09CA5B23" w14:textId="285F0AA6" w:rsidR="007E1A54" w:rsidRDefault="007E1A54" w:rsidP="00086309"/>
    <w:p w14:paraId="612848E3" w14:textId="77777777" w:rsidR="00D9627A" w:rsidRPr="000E5D00" w:rsidRDefault="00D9627A" w:rsidP="00086309"/>
    <w:p w14:paraId="4070FC0B" w14:textId="0A88BA80" w:rsidR="00F613CD" w:rsidRPr="009D67ED" w:rsidRDefault="00EC5F3B" w:rsidP="00086309">
      <w:pPr>
        <w:pStyle w:val="1"/>
      </w:pPr>
      <w:r>
        <w:t>Conclusion</w:t>
      </w:r>
    </w:p>
    <w:p w14:paraId="6EF62E26" w14:textId="019A38D8" w:rsidR="00E97BB5" w:rsidRDefault="000E0B10" w:rsidP="00086309">
      <w:r w:rsidRPr="00107F21">
        <w:rPr>
          <w:rFonts w:hint="eastAsia"/>
        </w:rPr>
        <w:t>In this contribution,</w:t>
      </w:r>
      <w:r w:rsidR="004803D1" w:rsidRPr="00107F21">
        <w:t xml:space="preserve"> we discuss</w:t>
      </w:r>
      <w:r w:rsidR="00107F21">
        <w:t xml:space="preserve"> several</w:t>
      </w:r>
      <w:r w:rsidR="004803D1" w:rsidRPr="00107F21">
        <w:t xml:space="preserve"> issues </w:t>
      </w:r>
      <w:r w:rsidR="00107F21" w:rsidRPr="00107F21">
        <w:t>on</w:t>
      </w:r>
      <w:r w:rsidR="004803D1" w:rsidRPr="00107F21">
        <w:t xml:space="preserve"> NR-U wideband operation, from which the following proposals are drawn:</w:t>
      </w:r>
    </w:p>
    <w:p w14:paraId="4699583C" w14:textId="77777777" w:rsidR="002474BC" w:rsidRDefault="002474BC" w:rsidP="00086309">
      <w:r w:rsidRPr="004803D1">
        <w:rPr>
          <w:b/>
        </w:rPr>
        <w:t xml:space="preserve">Proposal </w:t>
      </w:r>
      <w:r>
        <w:rPr>
          <w:b/>
        </w:rPr>
        <w:t>1</w:t>
      </w:r>
      <w:r w:rsidRPr="004803D1">
        <w:t xml:space="preserve">: </w:t>
      </w:r>
      <w:r>
        <w:t xml:space="preserve">Information of </w:t>
      </w:r>
      <w:proofErr w:type="spellStart"/>
      <w:r>
        <w:t>gNB’s</w:t>
      </w:r>
      <w:proofErr w:type="spellEnd"/>
      <w:r>
        <w:t xml:space="preserve"> transmitting bandwidth </w:t>
      </w:r>
      <w:r w:rsidRPr="004803D1">
        <w:t>is delivered to UE based on GC-PDCCH [as a part of a COT structure indication].</w:t>
      </w:r>
    </w:p>
    <w:p w14:paraId="4C03D2A5" w14:textId="77777777" w:rsidR="00454763" w:rsidRDefault="00454763" w:rsidP="00086309">
      <w:r w:rsidRPr="003078C1">
        <w:rPr>
          <w:rFonts w:hint="eastAsia"/>
          <w:b/>
        </w:rPr>
        <w:t>P</w:t>
      </w:r>
      <w:r w:rsidRPr="003078C1">
        <w:rPr>
          <w:b/>
        </w:rPr>
        <w:t xml:space="preserve">roposal </w:t>
      </w:r>
      <w:r>
        <w:rPr>
          <w:b/>
        </w:rPr>
        <w:t>2</w:t>
      </w:r>
      <w:r>
        <w:t xml:space="preserve">: Support X&gt;3 number of CORESETs in one bandwidth part in NR-U, where each CORESET is configured to be confined within </w:t>
      </w:r>
      <w:proofErr w:type="gramStart"/>
      <w:r>
        <w:t>a</w:t>
      </w:r>
      <w:proofErr w:type="gramEnd"/>
      <w:r>
        <w:t xml:space="preserve"> LBT </w:t>
      </w:r>
      <w:proofErr w:type="spellStart"/>
      <w:r>
        <w:t>subband</w:t>
      </w:r>
      <w:proofErr w:type="spellEnd"/>
      <w:r>
        <w:t>.</w:t>
      </w:r>
    </w:p>
    <w:p w14:paraId="49B4EABE" w14:textId="77777777" w:rsidR="00454763" w:rsidRPr="00A767F6" w:rsidRDefault="00454763" w:rsidP="00086309">
      <w:r w:rsidRPr="003078C1">
        <w:rPr>
          <w:b/>
        </w:rPr>
        <w:t xml:space="preserve">Proposal </w:t>
      </w:r>
      <w:r>
        <w:rPr>
          <w:b/>
        </w:rPr>
        <w:t>3</w:t>
      </w:r>
      <w:r>
        <w:t xml:space="preserve">: Consider a joint configuration of multiple CORESETs for different LBT </w:t>
      </w:r>
      <w:proofErr w:type="spellStart"/>
      <w:r>
        <w:t>subbands</w:t>
      </w:r>
      <w:proofErr w:type="spellEnd"/>
      <w:r>
        <w:t xml:space="preserve"> with some </w:t>
      </w:r>
      <w:r>
        <w:lastRenderedPageBreak/>
        <w:t>shared parameters.</w:t>
      </w:r>
    </w:p>
    <w:p w14:paraId="04438632" w14:textId="77777777" w:rsidR="001B089D" w:rsidRDefault="001B089D" w:rsidP="00086309">
      <w:r w:rsidRPr="00222B14">
        <w:rPr>
          <w:rFonts w:hint="eastAsia"/>
          <w:b/>
        </w:rPr>
        <w:t>P</w:t>
      </w:r>
      <w:r w:rsidRPr="00222B14">
        <w:rPr>
          <w:b/>
        </w:rPr>
        <w:t>roposal 4</w:t>
      </w:r>
      <w:r w:rsidRPr="00222B14">
        <w:t xml:space="preserve">: </w:t>
      </w:r>
      <w:r>
        <w:t xml:space="preserve">The </w:t>
      </w:r>
      <w:r w:rsidRPr="00222B14">
        <w:t xml:space="preserve">size and </w:t>
      </w:r>
      <w:r>
        <w:t xml:space="preserve">the </w:t>
      </w:r>
      <w:r w:rsidRPr="00222B14">
        <w:t xml:space="preserve">location of guard band(s) </w:t>
      </w:r>
      <w:r>
        <w:t xml:space="preserve">between the LBT </w:t>
      </w:r>
      <w:proofErr w:type="spellStart"/>
      <w:r>
        <w:t>subbands</w:t>
      </w:r>
      <w:proofErr w:type="spellEnd"/>
      <w:r>
        <w:t xml:space="preserve"> can be configured to UE </w:t>
      </w:r>
      <w:r w:rsidRPr="00222B14">
        <w:t>in unit of a PRB</w:t>
      </w:r>
      <w:r w:rsidRPr="001B089D">
        <w:t xml:space="preserve"> </w:t>
      </w:r>
      <w:r>
        <w:t>as a part of the bandwidth part configuration</w:t>
      </w:r>
      <w:r w:rsidRPr="00222B14">
        <w:t>.</w:t>
      </w:r>
    </w:p>
    <w:p w14:paraId="46CEFA53" w14:textId="77777777" w:rsidR="00222B14" w:rsidRDefault="00222B14" w:rsidP="00086309">
      <w:r>
        <w:rPr>
          <w:b/>
        </w:rPr>
        <w:t>Proposal</w:t>
      </w:r>
      <w:r w:rsidRPr="005634DC">
        <w:rPr>
          <w:b/>
        </w:rPr>
        <w:t xml:space="preserve"> </w:t>
      </w:r>
      <w:r>
        <w:rPr>
          <w:b/>
        </w:rPr>
        <w:t>5</w:t>
      </w:r>
      <w:r>
        <w:t>: Tx bandwidth adaptation in the middle of a COT is discussed as a part of NR-U wideband operation.</w:t>
      </w:r>
    </w:p>
    <w:p w14:paraId="5396AE18" w14:textId="77777777" w:rsidR="00F0340D" w:rsidRPr="00222B14" w:rsidRDefault="00F0340D" w:rsidP="00086309"/>
    <w:p w14:paraId="2A04AB50" w14:textId="77777777" w:rsidR="00491D04" w:rsidRPr="009D67ED" w:rsidRDefault="00491D04" w:rsidP="00086309">
      <w:pPr>
        <w:pStyle w:val="1"/>
      </w:pPr>
      <w:r w:rsidRPr="009D67ED">
        <w:t>References</w:t>
      </w:r>
    </w:p>
    <w:p w14:paraId="60D5CFBF" w14:textId="6F17C55C" w:rsidR="00190B04" w:rsidRDefault="004F6076" w:rsidP="00086309">
      <w:pPr>
        <w:spacing w:after="60"/>
      </w:pPr>
      <w:r w:rsidRPr="0054488E">
        <w:t xml:space="preserve">[1] </w:t>
      </w:r>
      <w:r w:rsidR="00BD232E" w:rsidRPr="0054488E">
        <w:t>Cha</w:t>
      </w:r>
      <w:r w:rsidR="00F0340D">
        <w:t xml:space="preserve">irman’s Notes RAN1 </w:t>
      </w:r>
      <w:r w:rsidR="007E1A54">
        <w:t>#96bis</w:t>
      </w:r>
      <w:r w:rsidR="00BD232E" w:rsidRPr="0054488E">
        <w:t>.</w:t>
      </w:r>
    </w:p>
    <w:p w14:paraId="7DFB5513" w14:textId="3C20283F" w:rsidR="007E1A54" w:rsidRPr="0054488E" w:rsidRDefault="007E1A54" w:rsidP="00086309">
      <w:r>
        <w:rPr>
          <w:rFonts w:hint="eastAsia"/>
        </w:rPr>
        <w:t>[</w:t>
      </w:r>
      <w:r>
        <w:t xml:space="preserve">2] </w:t>
      </w:r>
      <w:r w:rsidRPr="007E1A54">
        <w:t>R1-1905930</w:t>
      </w:r>
      <w:r>
        <w:t xml:space="preserve"> (</w:t>
      </w:r>
      <w:r w:rsidRPr="007E1A54">
        <w:t>R4-1905209</w:t>
      </w:r>
      <w:r>
        <w:t>), “</w:t>
      </w:r>
      <w:r w:rsidRPr="007E1A54">
        <w:t>LS reply on wideband carrier operation for NR-U</w:t>
      </w:r>
      <w:r>
        <w:t>,” Nokia, RAN1 #97.</w:t>
      </w:r>
    </w:p>
    <w:sectPr w:rsidR="007E1A54" w:rsidRPr="0054488E"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121F9" w14:textId="77777777" w:rsidR="001843C9" w:rsidRDefault="001843C9" w:rsidP="00086309">
      <w:r>
        <w:separator/>
      </w:r>
    </w:p>
  </w:endnote>
  <w:endnote w:type="continuationSeparator" w:id="0">
    <w:p w14:paraId="4E66E819" w14:textId="77777777" w:rsidR="001843C9" w:rsidRDefault="001843C9" w:rsidP="0008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1F511605" w14:textId="4C5C9743" w:rsidR="003100C7" w:rsidRPr="00A33570" w:rsidRDefault="003100C7" w:rsidP="00086309">
        <w:pPr>
          <w:pStyle w:val="a6"/>
          <w:jc w:val="center"/>
        </w:pPr>
        <w:r w:rsidRPr="00A33570">
          <w:fldChar w:fldCharType="begin"/>
        </w:r>
        <w:r w:rsidRPr="00A33570">
          <w:instrText>PAGE   \* MERGEFORMAT</w:instrText>
        </w:r>
        <w:r w:rsidRPr="00A33570">
          <w:fldChar w:fldCharType="separate"/>
        </w:r>
        <w:r w:rsidR="00281299" w:rsidRPr="00281299">
          <w:rPr>
            <w:noProof/>
            <w:lang w:val="ko-KR"/>
          </w:rPr>
          <w:t>3</w:t>
        </w:r>
        <w:r w:rsidRPr="00A33570">
          <w:fldChar w:fldCharType="end"/>
        </w:r>
      </w:p>
    </w:sdtContent>
  </w:sdt>
  <w:p w14:paraId="22F7E695" w14:textId="0F2B4C28" w:rsidR="003100C7" w:rsidRDefault="003100C7" w:rsidP="000863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FBD9F" w14:textId="77777777" w:rsidR="001843C9" w:rsidRDefault="001843C9" w:rsidP="00086309">
      <w:r>
        <w:separator/>
      </w:r>
    </w:p>
  </w:footnote>
  <w:footnote w:type="continuationSeparator" w:id="0">
    <w:p w14:paraId="6B3A9EE7" w14:textId="77777777" w:rsidR="001843C9" w:rsidRDefault="001843C9" w:rsidP="00086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318A"/>
    <w:multiLevelType w:val="hybridMultilevel"/>
    <w:tmpl w:val="80BA0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886A4B"/>
    <w:multiLevelType w:val="hybridMultilevel"/>
    <w:tmpl w:val="651E84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E5D0FA04"/>
    <w:lvl w:ilvl="0" w:tplc="F2F2B7A4">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C313D17"/>
    <w:multiLevelType w:val="multilevel"/>
    <w:tmpl w:val="AE488A68"/>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6F1D7CC1"/>
    <w:multiLevelType w:val="hybridMultilevel"/>
    <w:tmpl w:val="FD2C0898"/>
    <w:lvl w:ilvl="0" w:tplc="8452D7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9"/>
  </w:num>
  <w:num w:numId="5">
    <w:abstractNumId w:val="15"/>
  </w:num>
  <w:num w:numId="6">
    <w:abstractNumId w:val="13"/>
  </w:num>
  <w:num w:numId="7">
    <w:abstractNumId w:val="3"/>
  </w:num>
  <w:num w:numId="8">
    <w:abstractNumId w:val="1"/>
  </w:num>
  <w:num w:numId="9">
    <w:abstractNumId w:val="11"/>
  </w:num>
  <w:num w:numId="10">
    <w:abstractNumId w:val="10"/>
  </w:num>
  <w:num w:numId="11">
    <w:abstractNumId w:val="0"/>
  </w:num>
  <w:num w:numId="12">
    <w:abstractNumId w:val="2"/>
  </w:num>
  <w:num w:numId="13">
    <w:abstractNumId w:val="12"/>
  </w:num>
  <w:num w:numId="14">
    <w:abstractNumId w:val="8"/>
  </w:num>
  <w:num w:numId="15">
    <w:abstractNumId w:val="5"/>
  </w:num>
  <w:num w:numId="1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4A92"/>
    <w:rsid w:val="0001524F"/>
    <w:rsid w:val="0001626E"/>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309"/>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3999"/>
    <w:rsid w:val="000A520D"/>
    <w:rsid w:val="000A53E1"/>
    <w:rsid w:val="000A56F8"/>
    <w:rsid w:val="000A7209"/>
    <w:rsid w:val="000A77E2"/>
    <w:rsid w:val="000A79E2"/>
    <w:rsid w:val="000A7E7E"/>
    <w:rsid w:val="000B0515"/>
    <w:rsid w:val="000B051C"/>
    <w:rsid w:val="000B07B2"/>
    <w:rsid w:val="000B08FB"/>
    <w:rsid w:val="000B09C6"/>
    <w:rsid w:val="000B0B65"/>
    <w:rsid w:val="000B14B6"/>
    <w:rsid w:val="000B1ECC"/>
    <w:rsid w:val="000B2028"/>
    <w:rsid w:val="000B224A"/>
    <w:rsid w:val="000B22DA"/>
    <w:rsid w:val="000B310A"/>
    <w:rsid w:val="000B33EB"/>
    <w:rsid w:val="000B3796"/>
    <w:rsid w:val="000B4402"/>
    <w:rsid w:val="000B549A"/>
    <w:rsid w:val="000C0019"/>
    <w:rsid w:val="000C01F1"/>
    <w:rsid w:val="000C0FA8"/>
    <w:rsid w:val="000C11EF"/>
    <w:rsid w:val="000C1994"/>
    <w:rsid w:val="000C2178"/>
    <w:rsid w:val="000C22DD"/>
    <w:rsid w:val="000C2CD2"/>
    <w:rsid w:val="000C2CE1"/>
    <w:rsid w:val="000C2E7E"/>
    <w:rsid w:val="000C2F46"/>
    <w:rsid w:val="000C3730"/>
    <w:rsid w:val="000C4100"/>
    <w:rsid w:val="000C57BF"/>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2027"/>
    <w:rsid w:val="000E25B2"/>
    <w:rsid w:val="000E3A9E"/>
    <w:rsid w:val="000E411D"/>
    <w:rsid w:val="000E5516"/>
    <w:rsid w:val="000E5D00"/>
    <w:rsid w:val="000E70D9"/>
    <w:rsid w:val="000E76B8"/>
    <w:rsid w:val="000E7E29"/>
    <w:rsid w:val="000F08BC"/>
    <w:rsid w:val="000F268A"/>
    <w:rsid w:val="000F3040"/>
    <w:rsid w:val="000F35F2"/>
    <w:rsid w:val="000F3DD1"/>
    <w:rsid w:val="000F3EBC"/>
    <w:rsid w:val="000F45F6"/>
    <w:rsid w:val="000F4928"/>
    <w:rsid w:val="000F573E"/>
    <w:rsid w:val="000F6042"/>
    <w:rsid w:val="000F7D3D"/>
    <w:rsid w:val="00100636"/>
    <w:rsid w:val="001008AD"/>
    <w:rsid w:val="00101F7D"/>
    <w:rsid w:val="00101FB0"/>
    <w:rsid w:val="001022BE"/>
    <w:rsid w:val="001022E4"/>
    <w:rsid w:val="00102936"/>
    <w:rsid w:val="00102B29"/>
    <w:rsid w:val="00102B50"/>
    <w:rsid w:val="00102F55"/>
    <w:rsid w:val="001051CC"/>
    <w:rsid w:val="00105F7E"/>
    <w:rsid w:val="0010623F"/>
    <w:rsid w:val="00106589"/>
    <w:rsid w:val="00106703"/>
    <w:rsid w:val="00106E39"/>
    <w:rsid w:val="00107138"/>
    <w:rsid w:val="00107691"/>
    <w:rsid w:val="00107D0E"/>
    <w:rsid w:val="00107F21"/>
    <w:rsid w:val="00110EFE"/>
    <w:rsid w:val="00112865"/>
    <w:rsid w:val="0011351F"/>
    <w:rsid w:val="0011479F"/>
    <w:rsid w:val="0011490F"/>
    <w:rsid w:val="00114E27"/>
    <w:rsid w:val="00115A10"/>
    <w:rsid w:val="00115B6E"/>
    <w:rsid w:val="001164DE"/>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27C69"/>
    <w:rsid w:val="001306B8"/>
    <w:rsid w:val="001306C9"/>
    <w:rsid w:val="0013181A"/>
    <w:rsid w:val="00132CEA"/>
    <w:rsid w:val="00132D18"/>
    <w:rsid w:val="0013311D"/>
    <w:rsid w:val="001332C7"/>
    <w:rsid w:val="001339E9"/>
    <w:rsid w:val="001343AB"/>
    <w:rsid w:val="00135B56"/>
    <w:rsid w:val="00135F09"/>
    <w:rsid w:val="001366C5"/>
    <w:rsid w:val="00136F33"/>
    <w:rsid w:val="001371B9"/>
    <w:rsid w:val="00140234"/>
    <w:rsid w:val="00141DAF"/>
    <w:rsid w:val="00142B01"/>
    <w:rsid w:val="00142E82"/>
    <w:rsid w:val="0014357C"/>
    <w:rsid w:val="001444F0"/>
    <w:rsid w:val="00144D71"/>
    <w:rsid w:val="00145364"/>
    <w:rsid w:val="001453F6"/>
    <w:rsid w:val="001455C6"/>
    <w:rsid w:val="001456DB"/>
    <w:rsid w:val="00146486"/>
    <w:rsid w:val="001464E7"/>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03E"/>
    <w:rsid w:val="001638D0"/>
    <w:rsid w:val="0016442C"/>
    <w:rsid w:val="00164805"/>
    <w:rsid w:val="00164AF7"/>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3C9"/>
    <w:rsid w:val="001845B1"/>
    <w:rsid w:val="001846BC"/>
    <w:rsid w:val="001848AF"/>
    <w:rsid w:val="001854B3"/>
    <w:rsid w:val="00185F3C"/>
    <w:rsid w:val="00186901"/>
    <w:rsid w:val="00187EC9"/>
    <w:rsid w:val="0019003D"/>
    <w:rsid w:val="00190B04"/>
    <w:rsid w:val="00190CB6"/>
    <w:rsid w:val="00191121"/>
    <w:rsid w:val="001912B0"/>
    <w:rsid w:val="0019165E"/>
    <w:rsid w:val="00191CE8"/>
    <w:rsid w:val="00191E5B"/>
    <w:rsid w:val="0019222B"/>
    <w:rsid w:val="0019313C"/>
    <w:rsid w:val="00193F08"/>
    <w:rsid w:val="00194720"/>
    <w:rsid w:val="00194B63"/>
    <w:rsid w:val="001951C5"/>
    <w:rsid w:val="00195A3B"/>
    <w:rsid w:val="001961E1"/>
    <w:rsid w:val="00196C22"/>
    <w:rsid w:val="00197761"/>
    <w:rsid w:val="001977C1"/>
    <w:rsid w:val="001978AB"/>
    <w:rsid w:val="001A0091"/>
    <w:rsid w:val="001A0210"/>
    <w:rsid w:val="001A0490"/>
    <w:rsid w:val="001A0519"/>
    <w:rsid w:val="001A19A3"/>
    <w:rsid w:val="001A242F"/>
    <w:rsid w:val="001A32C8"/>
    <w:rsid w:val="001A38DD"/>
    <w:rsid w:val="001A5517"/>
    <w:rsid w:val="001A58B9"/>
    <w:rsid w:val="001A736B"/>
    <w:rsid w:val="001A73BD"/>
    <w:rsid w:val="001B00E4"/>
    <w:rsid w:val="001B0377"/>
    <w:rsid w:val="001B089D"/>
    <w:rsid w:val="001B1B7B"/>
    <w:rsid w:val="001B1EA9"/>
    <w:rsid w:val="001B33AC"/>
    <w:rsid w:val="001B4853"/>
    <w:rsid w:val="001B4B1D"/>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5419"/>
    <w:rsid w:val="001C63A7"/>
    <w:rsid w:val="001C647A"/>
    <w:rsid w:val="001C6640"/>
    <w:rsid w:val="001C71AB"/>
    <w:rsid w:val="001D0635"/>
    <w:rsid w:val="001D0852"/>
    <w:rsid w:val="001D08A1"/>
    <w:rsid w:val="001D5908"/>
    <w:rsid w:val="001D596C"/>
    <w:rsid w:val="001D6854"/>
    <w:rsid w:val="001D7F54"/>
    <w:rsid w:val="001E0CD7"/>
    <w:rsid w:val="001E10B9"/>
    <w:rsid w:val="001E2138"/>
    <w:rsid w:val="001E25F5"/>
    <w:rsid w:val="001E2DED"/>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1C93"/>
    <w:rsid w:val="0020205F"/>
    <w:rsid w:val="0020269A"/>
    <w:rsid w:val="002043BA"/>
    <w:rsid w:val="00204884"/>
    <w:rsid w:val="0020730E"/>
    <w:rsid w:val="00207901"/>
    <w:rsid w:val="00207E54"/>
    <w:rsid w:val="00211525"/>
    <w:rsid w:val="00211E81"/>
    <w:rsid w:val="00212548"/>
    <w:rsid w:val="00212946"/>
    <w:rsid w:val="00212FBD"/>
    <w:rsid w:val="002139A6"/>
    <w:rsid w:val="0021574D"/>
    <w:rsid w:val="00216078"/>
    <w:rsid w:val="0021642F"/>
    <w:rsid w:val="00216D19"/>
    <w:rsid w:val="00216D8D"/>
    <w:rsid w:val="00216ED4"/>
    <w:rsid w:val="002176F1"/>
    <w:rsid w:val="002177F8"/>
    <w:rsid w:val="00217E40"/>
    <w:rsid w:val="002202CD"/>
    <w:rsid w:val="0022101A"/>
    <w:rsid w:val="00222B14"/>
    <w:rsid w:val="00222D01"/>
    <w:rsid w:val="002233CE"/>
    <w:rsid w:val="002237E7"/>
    <w:rsid w:val="00224D26"/>
    <w:rsid w:val="00225610"/>
    <w:rsid w:val="002257F0"/>
    <w:rsid w:val="00226566"/>
    <w:rsid w:val="00226CA7"/>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0DC"/>
    <w:rsid w:val="002411E1"/>
    <w:rsid w:val="00241D4B"/>
    <w:rsid w:val="00241E59"/>
    <w:rsid w:val="00243B97"/>
    <w:rsid w:val="002443A5"/>
    <w:rsid w:val="00244ADF"/>
    <w:rsid w:val="00245275"/>
    <w:rsid w:val="002455D6"/>
    <w:rsid w:val="00246024"/>
    <w:rsid w:val="002461FB"/>
    <w:rsid w:val="00246DD6"/>
    <w:rsid w:val="00247131"/>
    <w:rsid w:val="002474BC"/>
    <w:rsid w:val="00250552"/>
    <w:rsid w:val="00250934"/>
    <w:rsid w:val="002509A7"/>
    <w:rsid w:val="002510FA"/>
    <w:rsid w:val="0025114C"/>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67E32"/>
    <w:rsid w:val="00270449"/>
    <w:rsid w:val="00270D26"/>
    <w:rsid w:val="00270ECC"/>
    <w:rsid w:val="00270FC5"/>
    <w:rsid w:val="00271636"/>
    <w:rsid w:val="00273322"/>
    <w:rsid w:val="002740DC"/>
    <w:rsid w:val="0027492A"/>
    <w:rsid w:val="00275092"/>
    <w:rsid w:val="00275B36"/>
    <w:rsid w:val="00276E23"/>
    <w:rsid w:val="002773B7"/>
    <w:rsid w:val="0027773D"/>
    <w:rsid w:val="002804B1"/>
    <w:rsid w:val="00281299"/>
    <w:rsid w:val="00281C39"/>
    <w:rsid w:val="002827F9"/>
    <w:rsid w:val="00284328"/>
    <w:rsid w:val="00284A05"/>
    <w:rsid w:val="00285E1B"/>
    <w:rsid w:val="002863D8"/>
    <w:rsid w:val="0028642C"/>
    <w:rsid w:val="00287529"/>
    <w:rsid w:val="0028793C"/>
    <w:rsid w:val="00287F62"/>
    <w:rsid w:val="00290FAD"/>
    <w:rsid w:val="00292075"/>
    <w:rsid w:val="0029297A"/>
    <w:rsid w:val="002929D4"/>
    <w:rsid w:val="00292E35"/>
    <w:rsid w:val="00293341"/>
    <w:rsid w:val="0029371E"/>
    <w:rsid w:val="002940C9"/>
    <w:rsid w:val="00294821"/>
    <w:rsid w:val="00295521"/>
    <w:rsid w:val="0029583E"/>
    <w:rsid w:val="00296D1B"/>
    <w:rsid w:val="002A067B"/>
    <w:rsid w:val="002A098D"/>
    <w:rsid w:val="002A18B2"/>
    <w:rsid w:val="002A2453"/>
    <w:rsid w:val="002A2705"/>
    <w:rsid w:val="002A27BC"/>
    <w:rsid w:val="002A469A"/>
    <w:rsid w:val="002A51F0"/>
    <w:rsid w:val="002A5924"/>
    <w:rsid w:val="002A5C2A"/>
    <w:rsid w:val="002A5CE8"/>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5E7"/>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CFB"/>
    <w:rsid w:val="002E7D80"/>
    <w:rsid w:val="002E7F19"/>
    <w:rsid w:val="002F12BD"/>
    <w:rsid w:val="002F1DE7"/>
    <w:rsid w:val="002F2144"/>
    <w:rsid w:val="002F2D5A"/>
    <w:rsid w:val="002F46D8"/>
    <w:rsid w:val="002F52A0"/>
    <w:rsid w:val="002F5765"/>
    <w:rsid w:val="002F57B6"/>
    <w:rsid w:val="002F62D4"/>
    <w:rsid w:val="002F6966"/>
    <w:rsid w:val="00301701"/>
    <w:rsid w:val="00302ED5"/>
    <w:rsid w:val="00303351"/>
    <w:rsid w:val="003040C5"/>
    <w:rsid w:val="00304BBA"/>
    <w:rsid w:val="00304E96"/>
    <w:rsid w:val="00304FBA"/>
    <w:rsid w:val="003055EE"/>
    <w:rsid w:val="00306F57"/>
    <w:rsid w:val="003078C1"/>
    <w:rsid w:val="00307A8A"/>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00C3"/>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785"/>
    <w:rsid w:val="00337C0E"/>
    <w:rsid w:val="00337C2A"/>
    <w:rsid w:val="00340999"/>
    <w:rsid w:val="003410FF"/>
    <w:rsid w:val="00341265"/>
    <w:rsid w:val="003416FE"/>
    <w:rsid w:val="00341BB3"/>
    <w:rsid w:val="00341D1D"/>
    <w:rsid w:val="0034573A"/>
    <w:rsid w:val="00345B54"/>
    <w:rsid w:val="00346B73"/>
    <w:rsid w:val="00347625"/>
    <w:rsid w:val="0035007C"/>
    <w:rsid w:val="003501E1"/>
    <w:rsid w:val="00351B4A"/>
    <w:rsid w:val="00351CB7"/>
    <w:rsid w:val="00352119"/>
    <w:rsid w:val="0035372B"/>
    <w:rsid w:val="003542C0"/>
    <w:rsid w:val="00355789"/>
    <w:rsid w:val="00355AE0"/>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05F8"/>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2E38"/>
    <w:rsid w:val="003834BA"/>
    <w:rsid w:val="00386DE4"/>
    <w:rsid w:val="003871D5"/>
    <w:rsid w:val="00387C2E"/>
    <w:rsid w:val="00387FB0"/>
    <w:rsid w:val="0039013C"/>
    <w:rsid w:val="00392431"/>
    <w:rsid w:val="00392C93"/>
    <w:rsid w:val="00392EAF"/>
    <w:rsid w:val="0039365D"/>
    <w:rsid w:val="00393A79"/>
    <w:rsid w:val="00394816"/>
    <w:rsid w:val="003953A3"/>
    <w:rsid w:val="00395A8D"/>
    <w:rsid w:val="00395D87"/>
    <w:rsid w:val="00397084"/>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6DAC"/>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2CA"/>
    <w:rsid w:val="003C595E"/>
    <w:rsid w:val="003C5A1C"/>
    <w:rsid w:val="003C65D1"/>
    <w:rsid w:val="003C7510"/>
    <w:rsid w:val="003D0E32"/>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40B"/>
    <w:rsid w:val="00400CE4"/>
    <w:rsid w:val="00402227"/>
    <w:rsid w:val="004026E9"/>
    <w:rsid w:val="00403D6F"/>
    <w:rsid w:val="004043ED"/>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1FA8"/>
    <w:rsid w:val="004232A8"/>
    <w:rsid w:val="0042330B"/>
    <w:rsid w:val="004249F2"/>
    <w:rsid w:val="0042522D"/>
    <w:rsid w:val="00425252"/>
    <w:rsid w:val="00425283"/>
    <w:rsid w:val="00425333"/>
    <w:rsid w:val="00425432"/>
    <w:rsid w:val="00425541"/>
    <w:rsid w:val="004261B4"/>
    <w:rsid w:val="004263FC"/>
    <w:rsid w:val="004301FA"/>
    <w:rsid w:val="004306E5"/>
    <w:rsid w:val="00430DB3"/>
    <w:rsid w:val="004314A9"/>
    <w:rsid w:val="00431A9C"/>
    <w:rsid w:val="004329F7"/>
    <w:rsid w:val="00432E63"/>
    <w:rsid w:val="0043335B"/>
    <w:rsid w:val="00433865"/>
    <w:rsid w:val="00433AA5"/>
    <w:rsid w:val="00433C7C"/>
    <w:rsid w:val="00433EED"/>
    <w:rsid w:val="00433F12"/>
    <w:rsid w:val="00435B0D"/>
    <w:rsid w:val="00435C27"/>
    <w:rsid w:val="00435D5B"/>
    <w:rsid w:val="004364F9"/>
    <w:rsid w:val="00437010"/>
    <w:rsid w:val="00437112"/>
    <w:rsid w:val="004377A4"/>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763"/>
    <w:rsid w:val="00454FE7"/>
    <w:rsid w:val="00455FD5"/>
    <w:rsid w:val="0045626E"/>
    <w:rsid w:val="004562B1"/>
    <w:rsid w:val="0045781B"/>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68C"/>
    <w:rsid w:val="00477FC1"/>
    <w:rsid w:val="004803D1"/>
    <w:rsid w:val="00481B98"/>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943"/>
    <w:rsid w:val="00490C94"/>
    <w:rsid w:val="00491D04"/>
    <w:rsid w:val="00491D6B"/>
    <w:rsid w:val="00493445"/>
    <w:rsid w:val="00494948"/>
    <w:rsid w:val="004956DF"/>
    <w:rsid w:val="00495BDD"/>
    <w:rsid w:val="00496459"/>
    <w:rsid w:val="004966F1"/>
    <w:rsid w:val="00496DDD"/>
    <w:rsid w:val="004A01E1"/>
    <w:rsid w:val="004A073B"/>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14FA"/>
    <w:rsid w:val="004B3418"/>
    <w:rsid w:val="004B3531"/>
    <w:rsid w:val="004B39AE"/>
    <w:rsid w:val="004B4DE6"/>
    <w:rsid w:val="004B6430"/>
    <w:rsid w:val="004B64F7"/>
    <w:rsid w:val="004B673E"/>
    <w:rsid w:val="004B7EDA"/>
    <w:rsid w:val="004C0F93"/>
    <w:rsid w:val="004C1320"/>
    <w:rsid w:val="004C1D94"/>
    <w:rsid w:val="004C20D2"/>
    <w:rsid w:val="004C2438"/>
    <w:rsid w:val="004C32EA"/>
    <w:rsid w:val="004C3808"/>
    <w:rsid w:val="004C4192"/>
    <w:rsid w:val="004C42FF"/>
    <w:rsid w:val="004C4BB4"/>
    <w:rsid w:val="004C5337"/>
    <w:rsid w:val="004C535C"/>
    <w:rsid w:val="004C5400"/>
    <w:rsid w:val="004C5947"/>
    <w:rsid w:val="004C708C"/>
    <w:rsid w:val="004C7922"/>
    <w:rsid w:val="004D0CD4"/>
    <w:rsid w:val="004D1255"/>
    <w:rsid w:val="004D2657"/>
    <w:rsid w:val="004D2B50"/>
    <w:rsid w:val="004D414C"/>
    <w:rsid w:val="004D4975"/>
    <w:rsid w:val="004D4F24"/>
    <w:rsid w:val="004D57AE"/>
    <w:rsid w:val="004D7C8E"/>
    <w:rsid w:val="004E0421"/>
    <w:rsid w:val="004E1319"/>
    <w:rsid w:val="004E153F"/>
    <w:rsid w:val="004E1B5C"/>
    <w:rsid w:val="004E1DF4"/>
    <w:rsid w:val="004E32F8"/>
    <w:rsid w:val="004E4352"/>
    <w:rsid w:val="004E4948"/>
    <w:rsid w:val="004E5278"/>
    <w:rsid w:val="004E53A1"/>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5B48"/>
    <w:rsid w:val="0051628D"/>
    <w:rsid w:val="00517171"/>
    <w:rsid w:val="00517781"/>
    <w:rsid w:val="00517904"/>
    <w:rsid w:val="0052017C"/>
    <w:rsid w:val="00520A23"/>
    <w:rsid w:val="0052233A"/>
    <w:rsid w:val="00524BE7"/>
    <w:rsid w:val="005251B0"/>
    <w:rsid w:val="00525461"/>
    <w:rsid w:val="00525C00"/>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2F7"/>
    <w:rsid w:val="00555403"/>
    <w:rsid w:val="005556BB"/>
    <w:rsid w:val="0055608B"/>
    <w:rsid w:val="00556EAA"/>
    <w:rsid w:val="0055748E"/>
    <w:rsid w:val="00557932"/>
    <w:rsid w:val="00561EB1"/>
    <w:rsid w:val="00562646"/>
    <w:rsid w:val="005634DC"/>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77183"/>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2D"/>
    <w:rsid w:val="005938E1"/>
    <w:rsid w:val="0059421A"/>
    <w:rsid w:val="00594533"/>
    <w:rsid w:val="00594570"/>
    <w:rsid w:val="00594780"/>
    <w:rsid w:val="00594B67"/>
    <w:rsid w:val="00594BA0"/>
    <w:rsid w:val="00596310"/>
    <w:rsid w:val="005970C2"/>
    <w:rsid w:val="00597843"/>
    <w:rsid w:val="00597AAE"/>
    <w:rsid w:val="005A05D6"/>
    <w:rsid w:val="005A16FF"/>
    <w:rsid w:val="005A194B"/>
    <w:rsid w:val="005A291E"/>
    <w:rsid w:val="005A2D51"/>
    <w:rsid w:val="005A33A6"/>
    <w:rsid w:val="005A3515"/>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1839"/>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4F1A"/>
    <w:rsid w:val="00645371"/>
    <w:rsid w:val="0064540E"/>
    <w:rsid w:val="00646904"/>
    <w:rsid w:val="00647A97"/>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1B1A"/>
    <w:rsid w:val="00662418"/>
    <w:rsid w:val="00663349"/>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77457"/>
    <w:rsid w:val="00680696"/>
    <w:rsid w:val="006811EF"/>
    <w:rsid w:val="00681344"/>
    <w:rsid w:val="00681C1E"/>
    <w:rsid w:val="00682C3F"/>
    <w:rsid w:val="0068370D"/>
    <w:rsid w:val="00683902"/>
    <w:rsid w:val="00683B0A"/>
    <w:rsid w:val="00684FDE"/>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233"/>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68D2"/>
    <w:rsid w:val="006E6F27"/>
    <w:rsid w:val="006E7062"/>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4F71"/>
    <w:rsid w:val="0071547C"/>
    <w:rsid w:val="00715498"/>
    <w:rsid w:val="0071588E"/>
    <w:rsid w:val="00715BAB"/>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6D9"/>
    <w:rsid w:val="00743AC1"/>
    <w:rsid w:val="00743C7E"/>
    <w:rsid w:val="00743E17"/>
    <w:rsid w:val="0074422B"/>
    <w:rsid w:val="00744E9D"/>
    <w:rsid w:val="00744EAA"/>
    <w:rsid w:val="0074511A"/>
    <w:rsid w:val="00745CCB"/>
    <w:rsid w:val="00747EDF"/>
    <w:rsid w:val="00750A42"/>
    <w:rsid w:val="00750BFF"/>
    <w:rsid w:val="00751ED0"/>
    <w:rsid w:val="00751F07"/>
    <w:rsid w:val="00752887"/>
    <w:rsid w:val="00754EC2"/>
    <w:rsid w:val="00754FEC"/>
    <w:rsid w:val="00755FD2"/>
    <w:rsid w:val="0075644E"/>
    <w:rsid w:val="0075675C"/>
    <w:rsid w:val="00756973"/>
    <w:rsid w:val="00756A5F"/>
    <w:rsid w:val="00756F32"/>
    <w:rsid w:val="00760236"/>
    <w:rsid w:val="00760A64"/>
    <w:rsid w:val="007619D3"/>
    <w:rsid w:val="00762120"/>
    <w:rsid w:val="00762D70"/>
    <w:rsid w:val="00764859"/>
    <w:rsid w:val="00764F72"/>
    <w:rsid w:val="007653E9"/>
    <w:rsid w:val="007656FF"/>
    <w:rsid w:val="00765BA2"/>
    <w:rsid w:val="00766723"/>
    <w:rsid w:val="00766847"/>
    <w:rsid w:val="0076730B"/>
    <w:rsid w:val="00771C27"/>
    <w:rsid w:val="007734CA"/>
    <w:rsid w:val="007745CC"/>
    <w:rsid w:val="007748EB"/>
    <w:rsid w:val="007751E0"/>
    <w:rsid w:val="0077531D"/>
    <w:rsid w:val="00776606"/>
    <w:rsid w:val="0077731A"/>
    <w:rsid w:val="007778D9"/>
    <w:rsid w:val="00777E65"/>
    <w:rsid w:val="00777E9F"/>
    <w:rsid w:val="007800FC"/>
    <w:rsid w:val="007801C5"/>
    <w:rsid w:val="00780F97"/>
    <w:rsid w:val="00780FD0"/>
    <w:rsid w:val="00781043"/>
    <w:rsid w:val="0078198F"/>
    <w:rsid w:val="00782180"/>
    <w:rsid w:val="00782537"/>
    <w:rsid w:val="00783A99"/>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C7A6E"/>
    <w:rsid w:val="007C7DAA"/>
    <w:rsid w:val="007D1C90"/>
    <w:rsid w:val="007D1D70"/>
    <w:rsid w:val="007D1F33"/>
    <w:rsid w:val="007D2835"/>
    <w:rsid w:val="007D2D87"/>
    <w:rsid w:val="007D31EB"/>
    <w:rsid w:val="007D5F5E"/>
    <w:rsid w:val="007D618D"/>
    <w:rsid w:val="007D6CAB"/>
    <w:rsid w:val="007D74DE"/>
    <w:rsid w:val="007D7A9D"/>
    <w:rsid w:val="007D7C69"/>
    <w:rsid w:val="007E0F40"/>
    <w:rsid w:val="007E1055"/>
    <w:rsid w:val="007E1A54"/>
    <w:rsid w:val="007E2271"/>
    <w:rsid w:val="007E3723"/>
    <w:rsid w:val="007E38F8"/>
    <w:rsid w:val="007E40CC"/>
    <w:rsid w:val="007E4483"/>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79A"/>
    <w:rsid w:val="00807AF5"/>
    <w:rsid w:val="0081074B"/>
    <w:rsid w:val="008107D5"/>
    <w:rsid w:val="00813648"/>
    <w:rsid w:val="008136FE"/>
    <w:rsid w:val="0081437E"/>
    <w:rsid w:val="008152E9"/>
    <w:rsid w:val="0081597C"/>
    <w:rsid w:val="0081678A"/>
    <w:rsid w:val="0081694A"/>
    <w:rsid w:val="00816E49"/>
    <w:rsid w:val="00817094"/>
    <w:rsid w:val="00817AC6"/>
    <w:rsid w:val="00817B14"/>
    <w:rsid w:val="00817C67"/>
    <w:rsid w:val="00820C7F"/>
    <w:rsid w:val="008216AE"/>
    <w:rsid w:val="00821C19"/>
    <w:rsid w:val="00824344"/>
    <w:rsid w:val="00825FFF"/>
    <w:rsid w:val="00826312"/>
    <w:rsid w:val="008265E8"/>
    <w:rsid w:val="00827B14"/>
    <w:rsid w:val="008300A1"/>
    <w:rsid w:val="0083027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4D9F"/>
    <w:rsid w:val="0084554E"/>
    <w:rsid w:val="00845970"/>
    <w:rsid w:val="0084631F"/>
    <w:rsid w:val="0084724C"/>
    <w:rsid w:val="00847344"/>
    <w:rsid w:val="008502F8"/>
    <w:rsid w:val="00851333"/>
    <w:rsid w:val="0085232B"/>
    <w:rsid w:val="0085243F"/>
    <w:rsid w:val="00852F76"/>
    <w:rsid w:val="008533FC"/>
    <w:rsid w:val="008536F2"/>
    <w:rsid w:val="00854CE5"/>
    <w:rsid w:val="00855061"/>
    <w:rsid w:val="00855504"/>
    <w:rsid w:val="00857625"/>
    <w:rsid w:val="00857EE5"/>
    <w:rsid w:val="008607DC"/>
    <w:rsid w:val="00862136"/>
    <w:rsid w:val="008621A2"/>
    <w:rsid w:val="008622B5"/>
    <w:rsid w:val="00862A13"/>
    <w:rsid w:val="00864099"/>
    <w:rsid w:val="00865002"/>
    <w:rsid w:val="008655BE"/>
    <w:rsid w:val="00865F99"/>
    <w:rsid w:val="008661C9"/>
    <w:rsid w:val="00866DD0"/>
    <w:rsid w:val="00867C7D"/>
    <w:rsid w:val="008700E7"/>
    <w:rsid w:val="00870D81"/>
    <w:rsid w:val="00870EAF"/>
    <w:rsid w:val="00872C85"/>
    <w:rsid w:val="00873F1E"/>
    <w:rsid w:val="008745DA"/>
    <w:rsid w:val="00874661"/>
    <w:rsid w:val="00875296"/>
    <w:rsid w:val="00876137"/>
    <w:rsid w:val="0087764E"/>
    <w:rsid w:val="00880312"/>
    <w:rsid w:val="00880AB7"/>
    <w:rsid w:val="00881B39"/>
    <w:rsid w:val="00883DBE"/>
    <w:rsid w:val="00883F92"/>
    <w:rsid w:val="008843B8"/>
    <w:rsid w:val="00884ABD"/>
    <w:rsid w:val="008853DB"/>
    <w:rsid w:val="00885AD0"/>
    <w:rsid w:val="00885D0D"/>
    <w:rsid w:val="00885E2D"/>
    <w:rsid w:val="008866B6"/>
    <w:rsid w:val="00886F1C"/>
    <w:rsid w:val="008878B8"/>
    <w:rsid w:val="008902E4"/>
    <w:rsid w:val="00890516"/>
    <w:rsid w:val="008911A8"/>
    <w:rsid w:val="00891B7C"/>
    <w:rsid w:val="00892CA4"/>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254"/>
    <w:rsid w:val="008B2811"/>
    <w:rsid w:val="008B3D3A"/>
    <w:rsid w:val="008B3EC8"/>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53A6"/>
    <w:rsid w:val="008E7A4C"/>
    <w:rsid w:val="008F01E0"/>
    <w:rsid w:val="008F0202"/>
    <w:rsid w:val="008F0399"/>
    <w:rsid w:val="008F0B78"/>
    <w:rsid w:val="008F1C2A"/>
    <w:rsid w:val="008F2DE8"/>
    <w:rsid w:val="008F362A"/>
    <w:rsid w:val="008F45DF"/>
    <w:rsid w:val="008F47BC"/>
    <w:rsid w:val="008F4A66"/>
    <w:rsid w:val="008F4CBB"/>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1218"/>
    <w:rsid w:val="00952ABD"/>
    <w:rsid w:val="00952E64"/>
    <w:rsid w:val="009530E7"/>
    <w:rsid w:val="00953B90"/>
    <w:rsid w:val="00953BA9"/>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527B"/>
    <w:rsid w:val="0097606B"/>
    <w:rsid w:val="009760AF"/>
    <w:rsid w:val="00977A9E"/>
    <w:rsid w:val="00980329"/>
    <w:rsid w:val="009804FD"/>
    <w:rsid w:val="009807D1"/>
    <w:rsid w:val="00980977"/>
    <w:rsid w:val="00982D09"/>
    <w:rsid w:val="00983053"/>
    <w:rsid w:val="009832D7"/>
    <w:rsid w:val="00984821"/>
    <w:rsid w:val="00984FDD"/>
    <w:rsid w:val="00986627"/>
    <w:rsid w:val="00987098"/>
    <w:rsid w:val="00987A1B"/>
    <w:rsid w:val="00987B2F"/>
    <w:rsid w:val="00990795"/>
    <w:rsid w:val="0099129D"/>
    <w:rsid w:val="00991563"/>
    <w:rsid w:val="0099243F"/>
    <w:rsid w:val="00992CB4"/>
    <w:rsid w:val="00992DA2"/>
    <w:rsid w:val="00993041"/>
    <w:rsid w:val="00993760"/>
    <w:rsid w:val="00993EAC"/>
    <w:rsid w:val="00994526"/>
    <w:rsid w:val="00994911"/>
    <w:rsid w:val="00994B30"/>
    <w:rsid w:val="00994CE7"/>
    <w:rsid w:val="00995F40"/>
    <w:rsid w:val="009964CF"/>
    <w:rsid w:val="009974D1"/>
    <w:rsid w:val="0099751E"/>
    <w:rsid w:val="00997A49"/>
    <w:rsid w:val="009A0A42"/>
    <w:rsid w:val="009A0EF9"/>
    <w:rsid w:val="009A1C53"/>
    <w:rsid w:val="009A1C72"/>
    <w:rsid w:val="009A1CB2"/>
    <w:rsid w:val="009A1EDE"/>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397"/>
    <w:rsid w:val="009F14ED"/>
    <w:rsid w:val="009F1701"/>
    <w:rsid w:val="009F190F"/>
    <w:rsid w:val="009F260E"/>
    <w:rsid w:val="009F4786"/>
    <w:rsid w:val="009F540F"/>
    <w:rsid w:val="009F5E1E"/>
    <w:rsid w:val="009F6393"/>
    <w:rsid w:val="009F6C59"/>
    <w:rsid w:val="009F799D"/>
    <w:rsid w:val="00A0012C"/>
    <w:rsid w:val="00A0019F"/>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0C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27DD4"/>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4C7"/>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7F6"/>
    <w:rsid w:val="00A7680B"/>
    <w:rsid w:val="00A769DE"/>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4E1"/>
    <w:rsid w:val="00A86687"/>
    <w:rsid w:val="00A867A2"/>
    <w:rsid w:val="00A8734E"/>
    <w:rsid w:val="00A874EE"/>
    <w:rsid w:val="00A8762B"/>
    <w:rsid w:val="00A87F77"/>
    <w:rsid w:val="00A90487"/>
    <w:rsid w:val="00A904F1"/>
    <w:rsid w:val="00A91A70"/>
    <w:rsid w:val="00A9400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2AAB"/>
    <w:rsid w:val="00B15F62"/>
    <w:rsid w:val="00B165F9"/>
    <w:rsid w:val="00B1686B"/>
    <w:rsid w:val="00B16B01"/>
    <w:rsid w:val="00B16B88"/>
    <w:rsid w:val="00B17447"/>
    <w:rsid w:val="00B17951"/>
    <w:rsid w:val="00B2068C"/>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78A"/>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1CA4"/>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C45"/>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6F7"/>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483"/>
    <w:rsid w:val="00B879C2"/>
    <w:rsid w:val="00B87FA5"/>
    <w:rsid w:val="00B90241"/>
    <w:rsid w:val="00B90427"/>
    <w:rsid w:val="00B92A26"/>
    <w:rsid w:val="00B93335"/>
    <w:rsid w:val="00B95162"/>
    <w:rsid w:val="00B97DEB"/>
    <w:rsid w:val="00B97F17"/>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50B6"/>
    <w:rsid w:val="00BB55BB"/>
    <w:rsid w:val="00BB580B"/>
    <w:rsid w:val="00BB5FBE"/>
    <w:rsid w:val="00BB60DA"/>
    <w:rsid w:val="00BB622D"/>
    <w:rsid w:val="00BB63F7"/>
    <w:rsid w:val="00BB6D80"/>
    <w:rsid w:val="00BB72F4"/>
    <w:rsid w:val="00BC0252"/>
    <w:rsid w:val="00BC05D0"/>
    <w:rsid w:val="00BC12E9"/>
    <w:rsid w:val="00BC1453"/>
    <w:rsid w:val="00BC14E8"/>
    <w:rsid w:val="00BC2416"/>
    <w:rsid w:val="00BC245A"/>
    <w:rsid w:val="00BC341F"/>
    <w:rsid w:val="00BC40B0"/>
    <w:rsid w:val="00BC6226"/>
    <w:rsid w:val="00BC6715"/>
    <w:rsid w:val="00BD09C6"/>
    <w:rsid w:val="00BD0ADC"/>
    <w:rsid w:val="00BD130C"/>
    <w:rsid w:val="00BD15E3"/>
    <w:rsid w:val="00BD1B75"/>
    <w:rsid w:val="00BD232E"/>
    <w:rsid w:val="00BD3866"/>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6A1"/>
    <w:rsid w:val="00BE6DDC"/>
    <w:rsid w:val="00BF05D7"/>
    <w:rsid w:val="00BF0AD6"/>
    <w:rsid w:val="00BF0FE1"/>
    <w:rsid w:val="00BF20D5"/>
    <w:rsid w:val="00BF23F2"/>
    <w:rsid w:val="00BF445D"/>
    <w:rsid w:val="00BF561A"/>
    <w:rsid w:val="00BF79CA"/>
    <w:rsid w:val="00C005CF"/>
    <w:rsid w:val="00C005E2"/>
    <w:rsid w:val="00C009F3"/>
    <w:rsid w:val="00C0227A"/>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3B16"/>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A78"/>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93C"/>
    <w:rsid w:val="00C80C0F"/>
    <w:rsid w:val="00C8130F"/>
    <w:rsid w:val="00C84E2F"/>
    <w:rsid w:val="00C84ED7"/>
    <w:rsid w:val="00C85F4D"/>
    <w:rsid w:val="00C860AE"/>
    <w:rsid w:val="00C863C1"/>
    <w:rsid w:val="00C8695D"/>
    <w:rsid w:val="00C869DF"/>
    <w:rsid w:val="00C87004"/>
    <w:rsid w:val="00C8755C"/>
    <w:rsid w:val="00C87CEB"/>
    <w:rsid w:val="00C900DE"/>
    <w:rsid w:val="00C910B1"/>
    <w:rsid w:val="00C9196B"/>
    <w:rsid w:val="00C91CA6"/>
    <w:rsid w:val="00C91E3F"/>
    <w:rsid w:val="00C9264E"/>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B2D"/>
    <w:rsid w:val="00CB2E6F"/>
    <w:rsid w:val="00CB39A0"/>
    <w:rsid w:val="00CB3C8D"/>
    <w:rsid w:val="00CB3E9E"/>
    <w:rsid w:val="00CB5AEA"/>
    <w:rsid w:val="00CB5DE8"/>
    <w:rsid w:val="00CB6627"/>
    <w:rsid w:val="00CB748D"/>
    <w:rsid w:val="00CC1969"/>
    <w:rsid w:val="00CC19FF"/>
    <w:rsid w:val="00CC217D"/>
    <w:rsid w:val="00CC24E2"/>
    <w:rsid w:val="00CC2818"/>
    <w:rsid w:val="00CC290F"/>
    <w:rsid w:val="00CC314E"/>
    <w:rsid w:val="00CC3565"/>
    <w:rsid w:val="00CC4CCF"/>
    <w:rsid w:val="00CC4EB9"/>
    <w:rsid w:val="00CC55EB"/>
    <w:rsid w:val="00CC5746"/>
    <w:rsid w:val="00CC6119"/>
    <w:rsid w:val="00CC62FF"/>
    <w:rsid w:val="00CC6C15"/>
    <w:rsid w:val="00CC7579"/>
    <w:rsid w:val="00CC7933"/>
    <w:rsid w:val="00CC7CD2"/>
    <w:rsid w:val="00CD0914"/>
    <w:rsid w:val="00CD160E"/>
    <w:rsid w:val="00CD2B3A"/>
    <w:rsid w:val="00CD2BD8"/>
    <w:rsid w:val="00CD3596"/>
    <w:rsid w:val="00CD383D"/>
    <w:rsid w:val="00CD3AB0"/>
    <w:rsid w:val="00CD406F"/>
    <w:rsid w:val="00CD4072"/>
    <w:rsid w:val="00CD54FB"/>
    <w:rsid w:val="00CD555E"/>
    <w:rsid w:val="00CD57A5"/>
    <w:rsid w:val="00CD61E3"/>
    <w:rsid w:val="00CD69F5"/>
    <w:rsid w:val="00CE035E"/>
    <w:rsid w:val="00CE0BDF"/>
    <w:rsid w:val="00CE1008"/>
    <w:rsid w:val="00CE1195"/>
    <w:rsid w:val="00CE2D56"/>
    <w:rsid w:val="00CE3288"/>
    <w:rsid w:val="00CE3312"/>
    <w:rsid w:val="00CE38CA"/>
    <w:rsid w:val="00CE51FE"/>
    <w:rsid w:val="00CE5ACB"/>
    <w:rsid w:val="00CE65C7"/>
    <w:rsid w:val="00CE71DD"/>
    <w:rsid w:val="00CE745F"/>
    <w:rsid w:val="00CE74CB"/>
    <w:rsid w:val="00CF0450"/>
    <w:rsid w:val="00CF1BAB"/>
    <w:rsid w:val="00CF1E42"/>
    <w:rsid w:val="00CF20AF"/>
    <w:rsid w:val="00CF41AA"/>
    <w:rsid w:val="00CF4B46"/>
    <w:rsid w:val="00CF4C2C"/>
    <w:rsid w:val="00CF5075"/>
    <w:rsid w:val="00CF561D"/>
    <w:rsid w:val="00CF6632"/>
    <w:rsid w:val="00CF66D9"/>
    <w:rsid w:val="00CF7096"/>
    <w:rsid w:val="00CF7699"/>
    <w:rsid w:val="00CF7AFD"/>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09A9"/>
    <w:rsid w:val="00D212FC"/>
    <w:rsid w:val="00D21355"/>
    <w:rsid w:val="00D23417"/>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0A3"/>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552"/>
    <w:rsid w:val="00D65B01"/>
    <w:rsid w:val="00D66774"/>
    <w:rsid w:val="00D67A8F"/>
    <w:rsid w:val="00D67CB2"/>
    <w:rsid w:val="00D700BF"/>
    <w:rsid w:val="00D7074E"/>
    <w:rsid w:val="00D70B74"/>
    <w:rsid w:val="00D70BFF"/>
    <w:rsid w:val="00D71D60"/>
    <w:rsid w:val="00D72AD0"/>
    <w:rsid w:val="00D72EB8"/>
    <w:rsid w:val="00D75F6B"/>
    <w:rsid w:val="00D7677D"/>
    <w:rsid w:val="00D77341"/>
    <w:rsid w:val="00D77596"/>
    <w:rsid w:val="00D800CD"/>
    <w:rsid w:val="00D80372"/>
    <w:rsid w:val="00D80627"/>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27A"/>
    <w:rsid w:val="00D96FC1"/>
    <w:rsid w:val="00D9789A"/>
    <w:rsid w:val="00D97D27"/>
    <w:rsid w:val="00D97D49"/>
    <w:rsid w:val="00DA089E"/>
    <w:rsid w:val="00DA126E"/>
    <w:rsid w:val="00DA1CB9"/>
    <w:rsid w:val="00DA1CBE"/>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689"/>
    <w:rsid w:val="00DC1836"/>
    <w:rsid w:val="00DC1DB6"/>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6C4"/>
    <w:rsid w:val="00DD2EBC"/>
    <w:rsid w:val="00DD3070"/>
    <w:rsid w:val="00DD3382"/>
    <w:rsid w:val="00DD4655"/>
    <w:rsid w:val="00DD49AB"/>
    <w:rsid w:val="00DD4B00"/>
    <w:rsid w:val="00DD5D5A"/>
    <w:rsid w:val="00DD5E72"/>
    <w:rsid w:val="00DD6235"/>
    <w:rsid w:val="00DD67E4"/>
    <w:rsid w:val="00DD7D73"/>
    <w:rsid w:val="00DE052F"/>
    <w:rsid w:val="00DE0927"/>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770"/>
    <w:rsid w:val="00DF38E6"/>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396"/>
    <w:rsid w:val="00E0398D"/>
    <w:rsid w:val="00E03E13"/>
    <w:rsid w:val="00E03F05"/>
    <w:rsid w:val="00E04117"/>
    <w:rsid w:val="00E046CA"/>
    <w:rsid w:val="00E04C9E"/>
    <w:rsid w:val="00E04DC9"/>
    <w:rsid w:val="00E05345"/>
    <w:rsid w:val="00E058B2"/>
    <w:rsid w:val="00E064BB"/>
    <w:rsid w:val="00E0698E"/>
    <w:rsid w:val="00E06F41"/>
    <w:rsid w:val="00E07C16"/>
    <w:rsid w:val="00E10739"/>
    <w:rsid w:val="00E13480"/>
    <w:rsid w:val="00E142E0"/>
    <w:rsid w:val="00E14378"/>
    <w:rsid w:val="00E16BE4"/>
    <w:rsid w:val="00E170FF"/>
    <w:rsid w:val="00E2040C"/>
    <w:rsid w:val="00E2054F"/>
    <w:rsid w:val="00E20BF0"/>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33A"/>
    <w:rsid w:val="00E326A7"/>
    <w:rsid w:val="00E334AF"/>
    <w:rsid w:val="00E3397F"/>
    <w:rsid w:val="00E33BC6"/>
    <w:rsid w:val="00E340AE"/>
    <w:rsid w:val="00E34F71"/>
    <w:rsid w:val="00E3569D"/>
    <w:rsid w:val="00E35832"/>
    <w:rsid w:val="00E358E1"/>
    <w:rsid w:val="00E35B37"/>
    <w:rsid w:val="00E36329"/>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227"/>
    <w:rsid w:val="00E538E8"/>
    <w:rsid w:val="00E54207"/>
    <w:rsid w:val="00E54550"/>
    <w:rsid w:val="00E54E16"/>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2EE"/>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2B18"/>
    <w:rsid w:val="00ED47A8"/>
    <w:rsid w:val="00ED4DB4"/>
    <w:rsid w:val="00ED7104"/>
    <w:rsid w:val="00EE07F2"/>
    <w:rsid w:val="00EE0AD4"/>
    <w:rsid w:val="00EE10A6"/>
    <w:rsid w:val="00EE1A82"/>
    <w:rsid w:val="00EE268E"/>
    <w:rsid w:val="00EE3318"/>
    <w:rsid w:val="00EE4921"/>
    <w:rsid w:val="00EE57EE"/>
    <w:rsid w:val="00EE5E71"/>
    <w:rsid w:val="00EE5F76"/>
    <w:rsid w:val="00EE611D"/>
    <w:rsid w:val="00EE6547"/>
    <w:rsid w:val="00EE7102"/>
    <w:rsid w:val="00EE7289"/>
    <w:rsid w:val="00EF0692"/>
    <w:rsid w:val="00EF1B34"/>
    <w:rsid w:val="00EF227B"/>
    <w:rsid w:val="00EF2634"/>
    <w:rsid w:val="00EF380C"/>
    <w:rsid w:val="00EF44FE"/>
    <w:rsid w:val="00EF5B3D"/>
    <w:rsid w:val="00EF76B1"/>
    <w:rsid w:val="00EF79F9"/>
    <w:rsid w:val="00F00092"/>
    <w:rsid w:val="00F0029C"/>
    <w:rsid w:val="00F006FC"/>
    <w:rsid w:val="00F00B58"/>
    <w:rsid w:val="00F011D4"/>
    <w:rsid w:val="00F01392"/>
    <w:rsid w:val="00F01B4E"/>
    <w:rsid w:val="00F01CDA"/>
    <w:rsid w:val="00F028D4"/>
    <w:rsid w:val="00F0297B"/>
    <w:rsid w:val="00F02B06"/>
    <w:rsid w:val="00F0340D"/>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C5F"/>
    <w:rsid w:val="00F26DE2"/>
    <w:rsid w:val="00F2795B"/>
    <w:rsid w:val="00F30110"/>
    <w:rsid w:val="00F302DD"/>
    <w:rsid w:val="00F30480"/>
    <w:rsid w:val="00F3083F"/>
    <w:rsid w:val="00F30A3B"/>
    <w:rsid w:val="00F32482"/>
    <w:rsid w:val="00F32705"/>
    <w:rsid w:val="00F32A66"/>
    <w:rsid w:val="00F32B49"/>
    <w:rsid w:val="00F33441"/>
    <w:rsid w:val="00F33AFB"/>
    <w:rsid w:val="00F34A57"/>
    <w:rsid w:val="00F36030"/>
    <w:rsid w:val="00F36827"/>
    <w:rsid w:val="00F36FDF"/>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63D"/>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9"/>
    <w:rsid w:val="00F770AA"/>
    <w:rsid w:val="00F81DFD"/>
    <w:rsid w:val="00F82066"/>
    <w:rsid w:val="00F84C6F"/>
    <w:rsid w:val="00F85431"/>
    <w:rsid w:val="00F909DA"/>
    <w:rsid w:val="00F91327"/>
    <w:rsid w:val="00F9245A"/>
    <w:rsid w:val="00F93644"/>
    <w:rsid w:val="00F93BE5"/>
    <w:rsid w:val="00F94174"/>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6D0"/>
    <w:rsid w:val="00FB4927"/>
    <w:rsid w:val="00FB494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086309"/>
    <w:pPr>
      <w:widowControl w:val="0"/>
      <w:autoSpaceDE w:val="0"/>
      <w:autoSpaceDN w:val="0"/>
      <w:spacing w:after="180" w:line="240" w:lineRule="auto"/>
    </w:pPr>
    <w:rPr>
      <w:rFonts w:ascii="Times" w:eastAsia="맑은 고딕" w:hAnsi="Times" w:cs="Times"/>
      <w:sz w:val="22"/>
      <w:lang w:val="en-GB"/>
    </w:rPr>
  </w:style>
  <w:style w:type="paragraph" w:styleId="1">
    <w:name w:val="heading 1"/>
    <w:aliases w:val="H1,h1,app heading 1,l1,Memo Heading 1,h11,h12,h13,h14,h15,h16"/>
    <w:next w:val="a"/>
    <w:link w:val="1Char"/>
    <w:qFormat/>
    <w:locked/>
    <w:rsid w:val="00086309"/>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086309"/>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cs="Times New Roman"/>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cs="Times New Roman"/>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086309"/>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086309"/>
    <w:rPr>
      <w:rFonts w:ascii="Arial" w:eastAsiaTheme="majorEastAsia" w:hAnsi="Arial" w:cs="Arial"/>
      <w:bCs/>
      <w:sz w:val="32"/>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cs="Times New Roman"/>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ascii="Times New Roman" w:eastAsia="Times New Roman" w:hAnsi="Times New Roman" w:cs="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02DCF-BA8F-41B9-B4FA-734944BE5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1733</Words>
  <Characters>9884</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4</cp:revision>
  <cp:lastPrinted>2013-10-30T13:46:00Z</cp:lastPrinted>
  <dcterms:created xsi:type="dcterms:W3CDTF">2019-05-02T15:54:00Z</dcterms:created>
  <dcterms:modified xsi:type="dcterms:W3CDTF">2019-05-02T16:08:00Z</dcterms:modified>
</cp:coreProperties>
</file>